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780A07" w14:textId="77777777" w:rsidR="0045329B" w:rsidRDefault="00D92E7F">
      <w:pPr>
        <w:pStyle w:val="Normal1"/>
        <w:spacing w:line="360" w:lineRule="auto"/>
        <w:jc w:val="center"/>
      </w:pPr>
      <w:r>
        <w:rPr>
          <w:b/>
        </w:rPr>
        <w:t>FACULDADE DE TALENTOS HUMANOS – FACTHUS</w:t>
      </w:r>
    </w:p>
    <w:p w14:paraId="412593D9" w14:textId="77777777" w:rsidR="0045329B" w:rsidRDefault="00D92E7F">
      <w:pPr>
        <w:pStyle w:val="Normal1"/>
        <w:spacing w:line="360" w:lineRule="auto"/>
        <w:jc w:val="center"/>
        <w:rPr>
          <w:b/>
        </w:rPr>
      </w:pPr>
      <w:r>
        <w:rPr>
          <w:b/>
        </w:rPr>
        <w:t>THIAGO ARAÚJO DE FARIA</w:t>
      </w:r>
    </w:p>
    <w:p w14:paraId="59A5B57C" w14:textId="77777777" w:rsidR="0045329B" w:rsidRDefault="00D92E7F">
      <w:pPr>
        <w:pStyle w:val="Normal1"/>
        <w:spacing w:line="360" w:lineRule="auto"/>
        <w:jc w:val="center"/>
        <w:rPr>
          <w:b/>
        </w:rPr>
      </w:pPr>
      <w:r>
        <w:rPr>
          <w:b/>
        </w:rPr>
        <w:t>VITOR PRADO MELO</w:t>
      </w:r>
    </w:p>
    <w:p w14:paraId="45304517" w14:textId="77777777" w:rsidR="0045329B" w:rsidRDefault="00D92E7F">
      <w:pPr>
        <w:pStyle w:val="Normal1"/>
        <w:spacing w:line="360" w:lineRule="auto"/>
        <w:jc w:val="center"/>
        <w:rPr>
          <w:color w:val="FF0000"/>
        </w:rPr>
      </w:pPr>
      <w:r>
        <w:rPr>
          <w:color w:val="FF0000"/>
        </w:rPr>
        <w:t xml:space="preserve"> </w:t>
      </w:r>
    </w:p>
    <w:p w14:paraId="67D76489" w14:textId="77777777" w:rsidR="0045329B" w:rsidRDefault="0045329B">
      <w:pPr>
        <w:pStyle w:val="Normal1"/>
        <w:spacing w:line="360" w:lineRule="auto"/>
        <w:jc w:val="center"/>
        <w:rPr>
          <w:color w:val="FF0000"/>
        </w:rPr>
      </w:pPr>
    </w:p>
    <w:p w14:paraId="4D38CC29" w14:textId="77777777" w:rsidR="0045329B" w:rsidRDefault="0045329B">
      <w:pPr>
        <w:pStyle w:val="Normal1"/>
        <w:spacing w:line="360" w:lineRule="auto"/>
        <w:jc w:val="center"/>
        <w:rPr>
          <w:color w:val="FF0000"/>
        </w:rPr>
      </w:pPr>
    </w:p>
    <w:p w14:paraId="16FD2C6B" w14:textId="77777777" w:rsidR="0045329B" w:rsidRDefault="0045329B">
      <w:pPr>
        <w:pStyle w:val="Normal1"/>
        <w:spacing w:line="360" w:lineRule="auto"/>
        <w:jc w:val="center"/>
        <w:rPr>
          <w:color w:val="FF0000"/>
        </w:rPr>
      </w:pPr>
    </w:p>
    <w:p w14:paraId="099DD174" w14:textId="77777777" w:rsidR="0045329B" w:rsidRDefault="0045329B">
      <w:pPr>
        <w:pStyle w:val="Normal1"/>
        <w:spacing w:line="360" w:lineRule="auto"/>
        <w:jc w:val="center"/>
        <w:rPr>
          <w:color w:val="FF0000"/>
        </w:rPr>
      </w:pPr>
    </w:p>
    <w:p w14:paraId="0678F4AF" w14:textId="77777777" w:rsidR="0045329B" w:rsidRDefault="0045329B">
      <w:pPr>
        <w:pStyle w:val="Normal1"/>
        <w:spacing w:line="360" w:lineRule="auto"/>
        <w:jc w:val="center"/>
        <w:rPr>
          <w:color w:val="FF0000"/>
        </w:rPr>
      </w:pPr>
    </w:p>
    <w:p w14:paraId="694F911F" w14:textId="77777777" w:rsidR="0045329B" w:rsidRDefault="0045329B">
      <w:pPr>
        <w:pStyle w:val="Normal1"/>
        <w:spacing w:line="360" w:lineRule="auto"/>
        <w:jc w:val="center"/>
        <w:rPr>
          <w:color w:val="FF0000"/>
        </w:rPr>
      </w:pPr>
    </w:p>
    <w:p w14:paraId="2C7F5144" w14:textId="77777777" w:rsidR="0045329B" w:rsidRDefault="0045329B">
      <w:pPr>
        <w:pStyle w:val="Normal1"/>
        <w:spacing w:line="360" w:lineRule="auto"/>
        <w:jc w:val="center"/>
        <w:rPr>
          <w:color w:val="FF0000"/>
        </w:rPr>
      </w:pPr>
    </w:p>
    <w:p w14:paraId="2B5D72F9" w14:textId="77777777" w:rsidR="0045329B" w:rsidRDefault="0045329B">
      <w:pPr>
        <w:pStyle w:val="Normal1"/>
        <w:spacing w:line="360" w:lineRule="auto"/>
        <w:jc w:val="center"/>
        <w:rPr>
          <w:color w:val="FF0000"/>
        </w:rPr>
      </w:pPr>
    </w:p>
    <w:p w14:paraId="3B10890F" w14:textId="77777777" w:rsidR="0045329B" w:rsidRDefault="0045329B">
      <w:pPr>
        <w:pStyle w:val="Normal1"/>
        <w:spacing w:line="360" w:lineRule="auto"/>
        <w:jc w:val="center"/>
        <w:rPr>
          <w:color w:val="FF0000"/>
        </w:rPr>
      </w:pPr>
    </w:p>
    <w:p w14:paraId="0466CCAF" w14:textId="77777777" w:rsidR="0045329B" w:rsidRDefault="0045329B">
      <w:pPr>
        <w:pStyle w:val="Normal1"/>
        <w:spacing w:line="360" w:lineRule="auto"/>
        <w:jc w:val="center"/>
        <w:rPr>
          <w:color w:val="FF0000"/>
        </w:rPr>
      </w:pPr>
    </w:p>
    <w:p w14:paraId="76C70CF1" w14:textId="77777777" w:rsidR="0045329B" w:rsidRDefault="0045329B">
      <w:pPr>
        <w:pStyle w:val="Normal1"/>
        <w:spacing w:line="360" w:lineRule="auto"/>
        <w:jc w:val="center"/>
        <w:rPr>
          <w:color w:val="FF0000"/>
        </w:rPr>
      </w:pPr>
    </w:p>
    <w:p w14:paraId="4D4882AB" w14:textId="77777777" w:rsidR="0045329B" w:rsidRDefault="00D92E7F">
      <w:pPr>
        <w:pStyle w:val="Normal1"/>
        <w:spacing w:line="360" w:lineRule="auto"/>
        <w:jc w:val="center"/>
        <w:rPr>
          <w:sz w:val="28"/>
          <w:szCs w:val="28"/>
        </w:rPr>
      </w:pPr>
      <w:r>
        <w:rPr>
          <w:b/>
          <w:sz w:val="28"/>
          <w:szCs w:val="28"/>
        </w:rPr>
        <w:t xml:space="preserve">MODELO DE MATURIDADE ITIL INFORMATIZADO </w:t>
      </w:r>
    </w:p>
    <w:p w14:paraId="71C9C38B" w14:textId="77777777" w:rsidR="0045329B" w:rsidRDefault="0045329B">
      <w:pPr>
        <w:pStyle w:val="Normal1"/>
        <w:spacing w:line="360" w:lineRule="auto"/>
        <w:jc w:val="center"/>
        <w:rPr>
          <w:color w:val="FF0000"/>
        </w:rPr>
      </w:pPr>
    </w:p>
    <w:p w14:paraId="645F9B23" w14:textId="77777777" w:rsidR="0045329B" w:rsidRDefault="0045329B">
      <w:pPr>
        <w:pStyle w:val="Normal1"/>
        <w:spacing w:line="360" w:lineRule="auto"/>
        <w:jc w:val="center"/>
        <w:rPr>
          <w:color w:val="FF0000"/>
        </w:rPr>
      </w:pPr>
    </w:p>
    <w:p w14:paraId="42CF806E" w14:textId="77777777" w:rsidR="0045329B" w:rsidRDefault="0045329B">
      <w:pPr>
        <w:pStyle w:val="Normal1"/>
        <w:spacing w:line="360" w:lineRule="auto"/>
        <w:jc w:val="center"/>
        <w:rPr>
          <w:color w:val="FF0000"/>
        </w:rPr>
      </w:pPr>
    </w:p>
    <w:p w14:paraId="2D7ED953" w14:textId="77777777" w:rsidR="0045329B" w:rsidRDefault="0045329B">
      <w:pPr>
        <w:pStyle w:val="Normal1"/>
        <w:spacing w:line="360" w:lineRule="auto"/>
        <w:jc w:val="center"/>
        <w:rPr>
          <w:color w:val="FF0000"/>
        </w:rPr>
      </w:pPr>
    </w:p>
    <w:p w14:paraId="76640510" w14:textId="77777777" w:rsidR="0045329B" w:rsidRDefault="0045329B">
      <w:pPr>
        <w:pStyle w:val="Normal1"/>
        <w:spacing w:line="360" w:lineRule="auto"/>
        <w:jc w:val="center"/>
        <w:rPr>
          <w:color w:val="FF0000"/>
        </w:rPr>
      </w:pPr>
    </w:p>
    <w:p w14:paraId="762334B0" w14:textId="77777777" w:rsidR="0045329B" w:rsidRDefault="0045329B">
      <w:pPr>
        <w:pStyle w:val="Normal1"/>
        <w:spacing w:line="360" w:lineRule="auto"/>
        <w:jc w:val="center"/>
        <w:rPr>
          <w:color w:val="FF0000"/>
        </w:rPr>
      </w:pPr>
    </w:p>
    <w:p w14:paraId="3FA94A22" w14:textId="77777777" w:rsidR="0045329B" w:rsidRDefault="0045329B">
      <w:pPr>
        <w:pStyle w:val="Normal1"/>
        <w:spacing w:line="360" w:lineRule="auto"/>
        <w:jc w:val="center"/>
        <w:rPr>
          <w:color w:val="FF0000"/>
        </w:rPr>
      </w:pPr>
    </w:p>
    <w:p w14:paraId="5C8DE07A" w14:textId="77777777" w:rsidR="0045329B" w:rsidRDefault="0045329B">
      <w:pPr>
        <w:pStyle w:val="Normal1"/>
        <w:spacing w:line="360" w:lineRule="auto"/>
        <w:jc w:val="center"/>
        <w:rPr>
          <w:color w:val="FF0000"/>
        </w:rPr>
      </w:pPr>
    </w:p>
    <w:p w14:paraId="49E99843" w14:textId="77777777" w:rsidR="0045329B" w:rsidRDefault="0045329B">
      <w:pPr>
        <w:pStyle w:val="Normal1"/>
        <w:spacing w:line="360" w:lineRule="auto"/>
        <w:jc w:val="center"/>
        <w:rPr>
          <w:color w:val="FF0000"/>
        </w:rPr>
      </w:pPr>
    </w:p>
    <w:p w14:paraId="21832A6B" w14:textId="77777777" w:rsidR="0045329B" w:rsidRDefault="0045329B">
      <w:pPr>
        <w:pStyle w:val="Normal1"/>
        <w:spacing w:line="360" w:lineRule="auto"/>
        <w:jc w:val="center"/>
        <w:rPr>
          <w:color w:val="FF0000"/>
        </w:rPr>
      </w:pPr>
    </w:p>
    <w:p w14:paraId="3FFF09D0" w14:textId="77777777" w:rsidR="0045329B" w:rsidRDefault="0045329B">
      <w:pPr>
        <w:pStyle w:val="Normal1"/>
        <w:spacing w:line="360" w:lineRule="auto"/>
        <w:jc w:val="center"/>
        <w:rPr>
          <w:color w:val="FF0000"/>
        </w:rPr>
      </w:pPr>
    </w:p>
    <w:p w14:paraId="36283A38" w14:textId="77777777" w:rsidR="00D92E7F" w:rsidRDefault="00D92E7F">
      <w:pPr>
        <w:pStyle w:val="Normal1"/>
        <w:spacing w:line="360" w:lineRule="auto"/>
        <w:jc w:val="center"/>
        <w:rPr>
          <w:color w:val="FF0000"/>
        </w:rPr>
      </w:pPr>
    </w:p>
    <w:p w14:paraId="404E3F06" w14:textId="77777777" w:rsidR="0045329B" w:rsidRDefault="0045329B">
      <w:pPr>
        <w:pStyle w:val="Normal1"/>
        <w:spacing w:line="360" w:lineRule="auto"/>
        <w:jc w:val="center"/>
        <w:rPr>
          <w:color w:val="FF0000"/>
        </w:rPr>
      </w:pPr>
    </w:p>
    <w:p w14:paraId="14D4AA5D" w14:textId="77777777" w:rsidR="0045329B" w:rsidRDefault="0045329B">
      <w:pPr>
        <w:pStyle w:val="Normal1"/>
        <w:spacing w:line="360" w:lineRule="auto"/>
        <w:jc w:val="center"/>
        <w:rPr>
          <w:color w:val="FF0000"/>
        </w:rPr>
      </w:pPr>
    </w:p>
    <w:p w14:paraId="3D987BD1" w14:textId="77777777" w:rsidR="0045329B" w:rsidRDefault="0045329B">
      <w:pPr>
        <w:pStyle w:val="Normal1"/>
        <w:spacing w:line="360" w:lineRule="auto"/>
        <w:jc w:val="center"/>
        <w:rPr>
          <w:color w:val="FF0000"/>
        </w:rPr>
      </w:pPr>
    </w:p>
    <w:p w14:paraId="1DD2C616" w14:textId="77777777" w:rsidR="0045329B" w:rsidRDefault="00D92E7F">
      <w:pPr>
        <w:pStyle w:val="Normal1"/>
        <w:spacing w:line="360" w:lineRule="auto"/>
        <w:jc w:val="center"/>
      </w:pPr>
      <w:r>
        <w:rPr>
          <w:b/>
        </w:rPr>
        <w:t>UBERABA – MG</w:t>
      </w:r>
    </w:p>
    <w:p w14:paraId="3A060692" w14:textId="77777777" w:rsidR="0045329B" w:rsidRDefault="00D92E7F">
      <w:pPr>
        <w:pStyle w:val="Normal1"/>
        <w:spacing w:line="360" w:lineRule="auto"/>
        <w:jc w:val="center"/>
      </w:pPr>
      <w:r>
        <w:rPr>
          <w:b/>
        </w:rPr>
        <w:t>2019</w:t>
      </w:r>
    </w:p>
    <w:p w14:paraId="1436DAF2" w14:textId="77777777" w:rsidR="0045329B" w:rsidRDefault="00D92E7F" w:rsidP="00F85032">
      <w:pPr>
        <w:pStyle w:val="Normal1"/>
        <w:spacing w:line="360" w:lineRule="auto"/>
        <w:jc w:val="center"/>
      </w:pPr>
      <w:r>
        <w:rPr>
          <w:b/>
        </w:rPr>
        <w:lastRenderedPageBreak/>
        <w:t>MODELO DE MATURIDADE ITIL INFORMATIZADO</w:t>
      </w:r>
    </w:p>
    <w:p w14:paraId="177A2978" w14:textId="77777777" w:rsidR="0045329B" w:rsidRDefault="00D92E7F">
      <w:pPr>
        <w:pStyle w:val="Normal1"/>
        <w:jc w:val="right"/>
        <w:rPr>
          <w:color w:val="FF0000"/>
          <w:sz w:val="20"/>
          <w:szCs w:val="20"/>
        </w:rPr>
      </w:pPr>
      <w:r>
        <w:rPr>
          <w:color w:val="FF0000"/>
          <w:sz w:val="20"/>
          <w:szCs w:val="20"/>
        </w:rPr>
        <w:t xml:space="preserve">  </w:t>
      </w:r>
    </w:p>
    <w:p w14:paraId="449592DF" w14:textId="77777777" w:rsidR="0045329B" w:rsidRDefault="0045329B">
      <w:pPr>
        <w:pStyle w:val="Normal1"/>
        <w:jc w:val="right"/>
        <w:rPr>
          <w:color w:val="FF0000"/>
          <w:sz w:val="20"/>
          <w:szCs w:val="20"/>
        </w:rPr>
      </w:pPr>
    </w:p>
    <w:p w14:paraId="39304A48" w14:textId="77777777" w:rsidR="0045329B" w:rsidRDefault="00D92E7F">
      <w:pPr>
        <w:pStyle w:val="Normal1"/>
        <w:jc w:val="center"/>
        <w:rPr>
          <w:sz w:val="20"/>
          <w:szCs w:val="20"/>
        </w:rPr>
      </w:pPr>
      <w:r>
        <w:rPr>
          <w:sz w:val="20"/>
          <w:szCs w:val="20"/>
        </w:rPr>
        <w:t xml:space="preserve">DE FARIA, T.A </w:t>
      </w:r>
      <w:r>
        <w:rPr>
          <w:sz w:val="20"/>
          <w:szCs w:val="20"/>
          <w:vertAlign w:val="superscript"/>
        </w:rPr>
        <w:t>1</w:t>
      </w:r>
      <w:r>
        <w:rPr>
          <w:sz w:val="20"/>
          <w:szCs w:val="20"/>
        </w:rPr>
        <w:t>; MELO, V.P²; CAMPOS, R.D³;</w:t>
      </w:r>
      <w:r>
        <w:rPr>
          <w:sz w:val="20"/>
          <w:szCs w:val="20"/>
          <w:vertAlign w:val="superscript"/>
        </w:rPr>
        <w:t xml:space="preserve"> </w:t>
      </w:r>
    </w:p>
    <w:p w14:paraId="0C9E7AC2" w14:textId="77777777" w:rsidR="0045329B" w:rsidRDefault="00D92E7F">
      <w:pPr>
        <w:pStyle w:val="Normal1"/>
        <w:jc w:val="right"/>
        <w:rPr>
          <w:color w:val="FF0000"/>
          <w:sz w:val="20"/>
          <w:szCs w:val="20"/>
        </w:rPr>
      </w:pPr>
      <w:r>
        <w:rPr>
          <w:color w:val="FF0000"/>
          <w:sz w:val="20"/>
          <w:szCs w:val="20"/>
        </w:rPr>
        <w:t xml:space="preserve"> </w:t>
      </w:r>
    </w:p>
    <w:p w14:paraId="36D82CB5" w14:textId="77777777" w:rsidR="0045329B" w:rsidRDefault="00D92E7F">
      <w:pPr>
        <w:pStyle w:val="Normal1"/>
        <w:jc w:val="both"/>
        <w:rPr>
          <w:sz w:val="20"/>
          <w:szCs w:val="20"/>
        </w:rPr>
      </w:pPr>
      <w:r>
        <w:rPr>
          <w:sz w:val="20"/>
          <w:szCs w:val="20"/>
          <w:vertAlign w:val="superscript"/>
        </w:rPr>
        <w:t>1</w:t>
      </w:r>
      <w:r>
        <w:t xml:space="preserve"> </w:t>
      </w:r>
      <w:r>
        <w:rPr>
          <w:sz w:val="20"/>
          <w:szCs w:val="20"/>
        </w:rPr>
        <w:t xml:space="preserve">Faculdade de Talentos Humanos, Uberaba (MG), e-mail: </w:t>
      </w:r>
      <w:hyperlink r:id="rId8">
        <w:r>
          <w:rPr>
            <w:color w:val="0000FF"/>
            <w:sz w:val="20"/>
            <w:szCs w:val="20"/>
            <w:u w:val="single"/>
          </w:rPr>
          <w:t>thiago.af18@gmail.com</w:t>
        </w:r>
      </w:hyperlink>
      <w:r>
        <w:rPr>
          <w:sz w:val="20"/>
          <w:szCs w:val="20"/>
        </w:rPr>
        <w:t>.</w:t>
      </w:r>
    </w:p>
    <w:p w14:paraId="1E37F97E" w14:textId="77777777" w:rsidR="0045329B" w:rsidRDefault="00D92E7F">
      <w:pPr>
        <w:pStyle w:val="Normal1"/>
        <w:jc w:val="both"/>
        <w:rPr>
          <w:sz w:val="20"/>
          <w:szCs w:val="20"/>
        </w:rPr>
      </w:pPr>
      <w:r>
        <w:rPr>
          <w:sz w:val="20"/>
          <w:szCs w:val="20"/>
          <w:vertAlign w:val="superscript"/>
        </w:rPr>
        <w:t>2</w:t>
      </w:r>
      <w:r>
        <w:rPr>
          <w:sz w:val="20"/>
          <w:szCs w:val="20"/>
        </w:rPr>
        <w:t xml:space="preserve"> Faculdade de Talentos Humanos, Uberaba (MG), e-mail: </w:t>
      </w:r>
      <w:hyperlink r:id="rId9">
        <w:r>
          <w:rPr>
            <w:color w:val="1155CC"/>
            <w:sz w:val="20"/>
            <w:szCs w:val="20"/>
            <w:u w:val="single"/>
          </w:rPr>
          <w:t>vitim.pradom@gmail.com</w:t>
        </w:r>
      </w:hyperlink>
      <w:r>
        <w:rPr>
          <w:sz w:val="20"/>
          <w:szCs w:val="20"/>
        </w:rPr>
        <w:t xml:space="preserve">. </w:t>
      </w:r>
    </w:p>
    <w:p w14:paraId="646B132A" w14:textId="77777777" w:rsidR="0045329B" w:rsidRDefault="00D92E7F">
      <w:pPr>
        <w:pStyle w:val="Normal1"/>
        <w:jc w:val="both"/>
        <w:rPr>
          <w:sz w:val="20"/>
          <w:szCs w:val="20"/>
        </w:rPr>
      </w:pPr>
      <w:r>
        <w:rPr>
          <w:sz w:val="20"/>
          <w:szCs w:val="20"/>
        </w:rPr>
        <w:t xml:space="preserve">³ Faculdade de Talentos Humanos, Uberaba (MG), e-mail: </w:t>
      </w:r>
      <w:hyperlink r:id="rId10">
        <w:r>
          <w:rPr>
            <w:color w:val="1155CC"/>
            <w:sz w:val="20"/>
            <w:szCs w:val="20"/>
            <w:u w:val="single"/>
          </w:rPr>
          <w:t>roberto.campos@facthus.edu.</w:t>
        </w:r>
      </w:hyperlink>
      <w:r>
        <w:rPr>
          <w:color w:val="1155CC"/>
          <w:sz w:val="20"/>
          <w:szCs w:val="20"/>
          <w:u w:val="single"/>
        </w:rPr>
        <w:t>br.</w:t>
      </w:r>
      <w:r>
        <w:rPr>
          <w:sz w:val="20"/>
          <w:szCs w:val="20"/>
        </w:rPr>
        <w:t xml:space="preserve"> </w:t>
      </w:r>
    </w:p>
    <w:p w14:paraId="7ACB1B87" w14:textId="77777777" w:rsidR="0045329B" w:rsidRDefault="0045329B">
      <w:pPr>
        <w:pStyle w:val="Normal1"/>
        <w:jc w:val="both"/>
        <w:rPr>
          <w:sz w:val="20"/>
          <w:szCs w:val="20"/>
        </w:rPr>
      </w:pPr>
    </w:p>
    <w:p w14:paraId="5CEC121C" w14:textId="77777777" w:rsidR="0045329B" w:rsidRDefault="00D92E7F">
      <w:pPr>
        <w:pStyle w:val="Normal1"/>
        <w:pBdr>
          <w:top w:val="nil"/>
          <w:left w:val="nil"/>
          <w:bottom w:val="nil"/>
          <w:right w:val="nil"/>
          <w:between w:val="nil"/>
        </w:pBdr>
        <w:jc w:val="right"/>
        <w:rPr>
          <w:color w:val="FF0000"/>
          <w:sz w:val="20"/>
          <w:szCs w:val="20"/>
        </w:rPr>
      </w:pPr>
      <w:r>
        <w:rPr>
          <w:color w:val="FF0000"/>
          <w:sz w:val="20"/>
          <w:szCs w:val="20"/>
        </w:rPr>
        <w:t xml:space="preserve"> </w:t>
      </w:r>
    </w:p>
    <w:p w14:paraId="677FB6FA" w14:textId="77777777" w:rsidR="0045329B" w:rsidRDefault="00D92E7F">
      <w:pPr>
        <w:pStyle w:val="Normal1"/>
        <w:pBdr>
          <w:top w:val="nil"/>
          <w:left w:val="nil"/>
          <w:bottom w:val="nil"/>
          <w:right w:val="nil"/>
          <w:between w:val="nil"/>
        </w:pBdr>
        <w:jc w:val="both"/>
        <w:rPr>
          <w:color w:val="000000"/>
          <w:sz w:val="20"/>
          <w:szCs w:val="20"/>
        </w:rPr>
      </w:pPr>
      <w:r>
        <w:rPr>
          <w:b/>
          <w:color w:val="000000"/>
          <w:sz w:val="20"/>
          <w:szCs w:val="20"/>
        </w:rPr>
        <w:t xml:space="preserve">RESUMO: </w:t>
      </w:r>
      <w:r>
        <w:rPr>
          <w:sz w:val="20"/>
          <w:szCs w:val="20"/>
        </w:rPr>
        <w:t xml:space="preserve">Pequenas e grandes empresas carecem de ferramentas que fornecem apoio quanto à gestão de serviços de tecnologia da informação. Existem questionários que podem ser impressos e distribuídos a cada setor da empresa, com o intuito de avaliar a maturidade de processos. Visando atender a necessidade de uma consultoria objetiva, surge o modelo de maturidade informatizado, com a proposta de esclarecer as empresas quanto às necessidades de melhoria ou implantação de processos de apoio ao setor tecnológico, utilizando-se da aplicação de um software. Com isso, o objetivo deste trabalho foi, através do desenvolvimento de um sistema web, informatizar o cálculo do questionário de maturidade, que não necessita de ser mais impresso, e pode ser realizado através de qualquer dispositivo que tenha acesso à internet. O sistema foi desenvolvido, no </w:t>
      </w:r>
      <w:proofErr w:type="spellStart"/>
      <w:r>
        <w:rPr>
          <w:sz w:val="20"/>
          <w:szCs w:val="20"/>
        </w:rPr>
        <w:t>backend</w:t>
      </w:r>
      <w:proofErr w:type="spellEnd"/>
      <w:r>
        <w:rPr>
          <w:sz w:val="20"/>
          <w:szCs w:val="20"/>
        </w:rPr>
        <w:t xml:space="preserve">, em C# (ASP.NET CORE), com o gerenciador de banco de dados </w:t>
      </w:r>
      <w:proofErr w:type="spellStart"/>
      <w:r>
        <w:rPr>
          <w:sz w:val="20"/>
          <w:szCs w:val="20"/>
        </w:rPr>
        <w:t>Sql</w:t>
      </w:r>
      <w:proofErr w:type="spellEnd"/>
      <w:r>
        <w:rPr>
          <w:sz w:val="20"/>
          <w:szCs w:val="20"/>
        </w:rPr>
        <w:t xml:space="preserve"> Server Data Tools e, no front-</w:t>
      </w:r>
      <w:proofErr w:type="spellStart"/>
      <w:r>
        <w:rPr>
          <w:sz w:val="20"/>
          <w:szCs w:val="20"/>
        </w:rPr>
        <w:t>end</w:t>
      </w:r>
      <w:proofErr w:type="spellEnd"/>
      <w:r>
        <w:rPr>
          <w:sz w:val="20"/>
          <w:szCs w:val="20"/>
        </w:rPr>
        <w:t xml:space="preserve">, em HTML, CSS, </w:t>
      </w:r>
      <w:proofErr w:type="spellStart"/>
      <w:r>
        <w:rPr>
          <w:sz w:val="20"/>
          <w:szCs w:val="20"/>
        </w:rPr>
        <w:t>JavaScript</w:t>
      </w:r>
      <w:proofErr w:type="spellEnd"/>
      <w:r>
        <w:rPr>
          <w:sz w:val="20"/>
          <w:szCs w:val="20"/>
        </w:rPr>
        <w:t xml:space="preserve">, com os frameworks </w:t>
      </w:r>
      <w:proofErr w:type="spellStart"/>
      <w:r>
        <w:rPr>
          <w:sz w:val="20"/>
          <w:szCs w:val="20"/>
        </w:rPr>
        <w:t>jQuery</w:t>
      </w:r>
      <w:proofErr w:type="spellEnd"/>
      <w:r>
        <w:rPr>
          <w:sz w:val="20"/>
          <w:szCs w:val="20"/>
        </w:rPr>
        <w:t xml:space="preserve"> e </w:t>
      </w:r>
      <w:proofErr w:type="spellStart"/>
      <w:r>
        <w:rPr>
          <w:sz w:val="20"/>
          <w:szCs w:val="20"/>
        </w:rPr>
        <w:t>Bootstrap</w:t>
      </w:r>
      <w:proofErr w:type="spellEnd"/>
      <w:r>
        <w:rPr>
          <w:sz w:val="20"/>
          <w:szCs w:val="20"/>
        </w:rPr>
        <w:t>. Após a implementação do software, foram realizados testes, e os requisitos propostos foram todos atendidos.</w:t>
      </w:r>
    </w:p>
    <w:p w14:paraId="299B89DC" w14:textId="77777777" w:rsidR="0045329B" w:rsidRDefault="00D92E7F">
      <w:pPr>
        <w:pStyle w:val="Normal1"/>
        <w:pBdr>
          <w:top w:val="nil"/>
          <w:left w:val="nil"/>
          <w:bottom w:val="nil"/>
          <w:right w:val="nil"/>
          <w:between w:val="nil"/>
        </w:pBdr>
        <w:jc w:val="right"/>
        <w:rPr>
          <w:color w:val="FF0000"/>
          <w:sz w:val="20"/>
          <w:szCs w:val="20"/>
        </w:rPr>
      </w:pPr>
      <w:r>
        <w:rPr>
          <w:color w:val="FF0000"/>
          <w:sz w:val="20"/>
          <w:szCs w:val="20"/>
        </w:rPr>
        <w:t xml:space="preserve"> </w:t>
      </w:r>
    </w:p>
    <w:p w14:paraId="4F048C1F" w14:textId="77777777" w:rsidR="0045329B" w:rsidRDefault="00D92E7F">
      <w:pPr>
        <w:pStyle w:val="Normal1"/>
        <w:pBdr>
          <w:top w:val="nil"/>
          <w:left w:val="nil"/>
          <w:bottom w:val="nil"/>
          <w:right w:val="nil"/>
          <w:between w:val="nil"/>
        </w:pBdr>
        <w:jc w:val="both"/>
        <w:rPr>
          <w:color w:val="000000"/>
          <w:sz w:val="20"/>
          <w:szCs w:val="20"/>
        </w:rPr>
      </w:pPr>
      <w:r>
        <w:rPr>
          <w:b/>
          <w:color w:val="000000"/>
          <w:sz w:val="20"/>
          <w:szCs w:val="20"/>
        </w:rPr>
        <w:t xml:space="preserve">PALAVRAS CHAVE: </w:t>
      </w:r>
      <w:r>
        <w:rPr>
          <w:sz w:val="20"/>
          <w:szCs w:val="20"/>
        </w:rPr>
        <w:t>Avaliação de Processos; Gerenciamento; Maturidade; Processos; Serviços de Tecnologia.</w:t>
      </w:r>
    </w:p>
    <w:p w14:paraId="7C805ADF" w14:textId="77777777" w:rsidR="0045329B" w:rsidRDefault="00D92E7F">
      <w:pPr>
        <w:pStyle w:val="Normal1"/>
        <w:jc w:val="right"/>
        <w:rPr>
          <w:color w:val="FF0000"/>
          <w:sz w:val="20"/>
          <w:szCs w:val="20"/>
        </w:rPr>
      </w:pPr>
      <w:r>
        <w:rPr>
          <w:color w:val="FF0000"/>
          <w:sz w:val="20"/>
          <w:szCs w:val="20"/>
        </w:rPr>
        <w:t xml:space="preserve"> </w:t>
      </w:r>
    </w:p>
    <w:p w14:paraId="632B2681" w14:textId="77777777" w:rsidR="0045329B" w:rsidRPr="00D92E7F" w:rsidRDefault="00D92E7F">
      <w:pPr>
        <w:pStyle w:val="Normal1"/>
        <w:keepNext/>
        <w:pBdr>
          <w:top w:val="nil"/>
          <w:left w:val="nil"/>
          <w:bottom w:val="nil"/>
          <w:right w:val="nil"/>
          <w:between w:val="nil"/>
        </w:pBdr>
        <w:jc w:val="center"/>
        <w:rPr>
          <w:b/>
          <w:sz w:val="20"/>
          <w:szCs w:val="20"/>
          <w:lang w:val="en-US"/>
        </w:rPr>
      </w:pPr>
      <w:r w:rsidRPr="00D92E7F">
        <w:rPr>
          <w:b/>
          <w:sz w:val="20"/>
          <w:szCs w:val="20"/>
          <w:lang w:val="en-US"/>
        </w:rPr>
        <w:t>ITIL MATURITY MODEL COMPUTERIZED</w:t>
      </w:r>
    </w:p>
    <w:p w14:paraId="097108B2" w14:textId="77777777" w:rsidR="0045329B" w:rsidRPr="00D92E7F" w:rsidRDefault="00D92E7F">
      <w:pPr>
        <w:pStyle w:val="Normal1"/>
        <w:jc w:val="right"/>
        <w:rPr>
          <w:color w:val="FF0000"/>
          <w:sz w:val="20"/>
          <w:szCs w:val="20"/>
          <w:lang w:val="en-US"/>
        </w:rPr>
      </w:pPr>
      <w:r w:rsidRPr="00D92E7F">
        <w:rPr>
          <w:color w:val="FF0000"/>
          <w:sz w:val="20"/>
          <w:szCs w:val="20"/>
          <w:lang w:val="en-US"/>
        </w:rPr>
        <w:t xml:space="preserve"> </w:t>
      </w:r>
    </w:p>
    <w:p w14:paraId="5067425F" w14:textId="77777777" w:rsidR="0045329B" w:rsidRPr="00D92E7F" w:rsidRDefault="00D92E7F">
      <w:pPr>
        <w:pStyle w:val="Normal1"/>
        <w:jc w:val="both"/>
        <w:rPr>
          <w:sz w:val="20"/>
          <w:szCs w:val="20"/>
          <w:lang w:val="en-US"/>
        </w:rPr>
      </w:pPr>
      <w:r w:rsidRPr="00D92E7F">
        <w:rPr>
          <w:b/>
          <w:sz w:val="20"/>
          <w:szCs w:val="20"/>
          <w:lang w:val="en-US"/>
        </w:rPr>
        <w:t xml:space="preserve">ABSTRACT: </w:t>
      </w:r>
      <w:r w:rsidRPr="00D92E7F">
        <w:rPr>
          <w:sz w:val="20"/>
          <w:szCs w:val="20"/>
          <w:lang w:val="en-US"/>
        </w:rPr>
        <w:t xml:space="preserve">Small and large enterprises lack tools that provide support for the management of information technology services. There are questionnaires that can be printed and distributed to each sector of the company, </w:t>
      </w:r>
      <w:proofErr w:type="gramStart"/>
      <w:r w:rsidRPr="00D92E7F">
        <w:rPr>
          <w:sz w:val="20"/>
          <w:szCs w:val="20"/>
          <w:lang w:val="en-US"/>
        </w:rPr>
        <w:t>in order to</w:t>
      </w:r>
      <w:proofErr w:type="gramEnd"/>
      <w:r w:rsidRPr="00D92E7F">
        <w:rPr>
          <w:sz w:val="20"/>
          <w:szCs w:val="20"/>
          <w:lang w:val="en-US"/>
        </w:rPr>
        <w:t xml:space="preserve"> evaluate the maturity of processes. Aiming to meet the need for an objective consultancy, the computerized maturity model emerges, with the purpose of clarifying the companies about the need to improve or implement processes to support the technological sector, using a software application. Therefore, the objective of this work was, through the development of a web system, computerize the calculation of the maturity questionnaire, which does not need to be printed, and can be done through any device that has access to the internet. The system was developed in the backend in C# (ASP.NET CORE), with </w:t>
      </w:r>
      <w:proofErr w:type="spellStart"/>
      <w:r w:rsidRPr="00D92E7F">
        <w:rPr>
          <w:sz w:val="20"/>
          <w:szCs w:val="20"/>
          <w:lang w:val="en-US"/>
        </w:rPr>
        <w:t>Sql</w:t>
      </w:r>
      <w:proofErr w:type="spellEnd"/>
      <w:r w:rsidRPr="00D92E7F">
        <w:rPr>
          <w:sz w:val="20"/>
          <w:szCs w:val="20"/>
          <w:lang w:val="en-US"/>
        </w:rPr>
        <w:t xml:space="preserve"> Server Data Tools database manager and, in the front end, in HTML, CSS, JavaScript, with the jQuery and Bootstrap frameworks. After the implementation of the software, tests were performed, and the proposed requirements were all met.</w:t>
      </w:r>
    </w:p>
    <w:p w14:paraId="246A08B6" w14:textId="77777777" w:rsidR="0045329B" w:rsidRPr="00D92E7F" w:rsidRDefault="00D92E7F">
      <w:pPr>
        <w:pStyle w:val="Normal1"/>
        <w:jc w:val="right"/>
        <w:rPr>
          <w:color w:val="FF0000"/>
          <w:sz w:val="20"/>
          <w:szCs w:val="20"/>
          <w:lang w:val="en-US"/>
        </w:rPr>
      </w:pPr>
      <w:r w:rsidRPr="00D92E7F">
        <w:rPr>
          <w:color w:val="FF0000"/>
          <w:sz w:val="20"/>
          <w:szCs w:val="20"/>
          <w:lang w:val="en-US"/>
        </w:rPr>
        <w:t xml:space="preserve"> </w:t>
      </w:r>
    </w:p>
    <w:p w14:paraId="12DCEB90" w14:textId="77777777" w:rsidR="0045329B" w:rsidRPr="00D92E7F" w:rsidRDefault="00D92E7F">
      <w:pPr>
        <w:pStyle w:val="Normal1"/>
        <w:jc w:val="both"/>
        <w:rPr>
          <w:sz w:val="20"/>
          <w:szCs w:val="20"/>
          <w:lang w:val="en-US"/>
        </w:rPr>
      </w:pPr>
      <w:r w:rsidRPr="00D92E7F">
        <w:rPr>
          <w:b/>
          <w:sz w:val="20"/>
          <w:szCs w:val="20"/>
          <w:lang w:val="en-US"/>
        </w:rPr>
        <w:t xml:space="preserve">KEY WORDS: </w:t>
      </w:r>
      <w:r w:rsidRPr="00D92E7F">
        <w:rPr>
          <w:sz w:val="20"/>
          <w:szCs w:val="20"/>
          <w:lang w:val="en-US"/>
        </w:rPr>
        <w:t>Management; Maturity; Process Evaluation; Processes; Technology Services.</w:t>
      </w:r>
    </w:p>
    <w:p w14:paraId="4045A4B1" w14:textId="77777777" w:rsidR="0045329B" w:rsidRPr="00D92E7F" w:rsidRDefault="00D92E7F">
      <w:pPr>
        <w:pStyle w:val="Normal1"/>
        <w:ind w:left="-720"/>
        <w:jc w:val="right"/>
        <w:rPr>
          <w:color w:val="FF0000"/>
          <w:sz w:val="20"/>
          <w:szCs w:val="20"/>
          <w:lang w:val="en-US"/>
        </w:rPr>
      </w:pPr>
      <w:r w:rsidRPr="00D92E7F">
        <w:rPr>
          <w:color w:val="FF0000"/>
          <w:sz w:val="20"/>
          <w:szCs w:val="20"/>
          <w:lang w:val="en-US"/>
        </w:rPr>
        <w:t xml:space="preserve"> </w:t>
      </w:r>
    </w:p>
    <w:p w14:paraId="4ACBE8AD" w14:textId="77777777" w:rsidR="0045329B" w:rsidRPr="00D92E7F" w:rsidRDefault="0045329B">
      <w:pPr>
        <w:pStyle w:val="Normal1"/>
        <w:ind w:left="-720"/>
        <w:jc w:val="right"/>
        <w:rPr>
          <w:color w:val="FF0000"/>
          <w:sz w:val="20"/>
          <w:szCs w:val="20"/>
          <w:lang w:val="en-US"/>
        </w:rPr>
        <w:sectPr w:rsidR="0045329B" w:rsidRPr="00D92E7F" w:rsidSect="00C31D54">
          <w:footerReference w:type="default" r:id="rId11"/>
          <w:type w:val="continuous"/>
          <w:pgSz w:w="11906" w:h="16838"/>
          <w:pgMar w:top="1418" w:right="1021" w:bottom="1418" w:left="1021" w:header="709" w:footer="709" w:gutter="0"/>
          <w:pgNumType w:start="5"/>
          <w:cols w:space="720"/>
        </w:sectPr>
      </w:pPr>
    </w:p>
    <w:p w14:paraId="0BAA0E8A" w14:textId="77777777" w:rsidR="0045329B" w:rsidRPr="007067E2" w:rsidRDefault="00D92E7F" w:rsidP="005C780A">
      <w:pPr>
        <w:pStyle w:val="Ttulo1"/>
      </w:pPr>
      <w:bookmarkStart w:id="0" w:name="_Toc10472150"/>
      <w:r w:rsidRPr="007067E2">
        <w:t>INTRODUÇÃO</w:t>
      </w:r>
      <w:bookmarkEnd w:id="0"/>
    </w:p>
    <w:p w14:paraId="15FC87DF" w14:textId="77777777" w:rsidR="0045329B" w:rsidRDefault="00D92E7F">
      <w:pPr>
        <w:pStyle w:val="Normal1"/>
        <w:jc w:val="right"/>
        <w:rPr>
          <w:color w:val="FF0000"/>
          <w:sz w:val="20"/>
          <w:szCs w:val="20"/>
        </w:rPr>
      </w:pPr>
      <w:r>
        <w:rPr>
          <w:color w:val="FF0000"/>
          <w:sz w:val="20"/>
          <w:szCs w:val="20"/>
        </w:rPr>
        <w:t xml:space="preserve"> </w:t>
      </w:r>
    </w:p>
    <w:p w14:paraId="13F53148" w14:textId="77777777" w:rsidR="0045329B" w:rsidRDefault="00D92E7F">
      <w:pPr>
        <w:pStyle w:val="Normal1"/>
        <w:ind w:firstLine="720"/>
        <w:jc w:val="both"/>
        <w:rPr>
          <w:sz w:val="20"/>
          <w:szCs w:val="20"/>
        </w:rPr>
      </w:pPr>
      <w:r>
        <w:rPr>
          <w:sz w:val="20"/>
          <w:szCs w:val="20"/>
        </w:rPr>
        <w:t>O crescente número de empresas que têm utilizado a T.I (tecnologia da informação) como parte da alta gerência e não como apenas um departamento acessório da estrutura empresarial, tem contribuído para que os serviços e o fornecimento destes sejam controlados, monitorados, qualificados e consta</w:t>
      </w:r>
      <w:r w:rsidR="005D1A3A">
        <w:rPr>
          <w:sz w:val="20"/>
          <w:szCs w:val="20"/>
        </w:rPr>
        <w:t xml:space="preserve">ntemente aperfeiçoados (PESSOA </w:t>
      </w:r>
      <w:r w:rsidR="005D1A3A">
        <w:rPr>
          <w:i/>
          <w:sz w:val="20"/>
          <w:szCs w:val="20"/>
        </w:rPr>
        <w:t xml:space="preserve">et </w:t>
      </w:r>
      <w:r w:rsidR="005D1A3A" w:rsidRPr="005D1A3A">
        <w:rPr>
          <w:sz w:val="20"/>
          <w:szCs w:val="20"/>
        </w:rPr>
        <w:t>al</w:t>
      </w:r>
      <w:r w:rsidR="005D1A3A">
        <w:rPr>
          <w:sz w:val="20"/>
          <w:szCs w:val="20"/>
        </w:rPr>
        <w:t xml:space="preserve">, </w:t>
      </w:r>
      <w:r w:rsidRPr="005D1A3A">
        <w:rPr>
          <w:sz w:val="20"/>
          <w:szCs w:val="20"/>
        </w:rPr>
        <w:t>2017</w:t>
      </w:r>
      <w:r>
        <w:rPr>
          <w:sz w:val="20"/>
          <w:szCs w:val="20"/>
        </w:rPr>
        <w:t>). Com isso, várias ferramentas de controle e gerenciamento existentes são aplicadas para que esses procedimentos anteriormente descritos estejam de acordo com o princípio de continuidade do negócio.</w:t>
      </w:r>
    </w:p>
    <w:p w14:paraId="407064A2" w14:textId="77777777" w:rsidR="0045329B" w:rsidRDefault="00D92E7F">
      <w:pPr>
        <w:pStyle w:val="Normal1"/>
        <w:ind w:firstLine="720"/>
        <w:jc w:val="both"/>
        <w:rPr>
          <w:sz w:val="20"/>
          <w:szCs w:val="20"/>
        </w:rPr>
      </w:pPr>
      <w:r>
        <w:rPr>
          <w:sz w:val="20"/>
          <w:szCs w:val="20"/>
        </w:rPr>
        <w:t xml:space="preserve">Uma das ferramentas utilizadas para monitorar os serviços é o ITIL </w:t>
      </w:r>
      <w:r>
        <w:rPr>
          <w:i/>
          <w:sz w:val="20"/>
          <w:szCs w:val="20"/>
        </w:rPr>
        <w:t>(</w:t>
      </w:r>
      <w:proofErr w:type="spellStart"/>
      <w:r>
        <w:rPr>
          <w:i/>
          <w:sz w:val="20"/>
          <w:szCs w:val="20"/>
        </w:rPr>
        <w:t>Information</w:t>
      </w:r>
      <w:proofErr w:type="spellEnd"/>
      <w:r>
        <w:rPr>
          <w:i/>
          <w:sz w:val="20"/>
          <w:szCs w:val="20"/>
        </w:rPr>
        <w:t xml:space="preserve"> Technology </w:t>
      </w:r>
      <w:proofErr w:type="spellStart"/>
      <w:r>
        <w:rPr>
          <w:i/>
          <w:sz w:val="20"/>
          <w:szCs w:val="20"/>
        </w:rPr>
        <w:t>Infrastructure</w:t>
      </w:r>
      <w:proofErr w:type="spellEnd"/>
      <w:r>
        <w:rPr>
          <w:i/>
          <w:sz w:val="20"/>
          <w:szCs w:val="20"/>
        </w:rPr>
        <w:t xml:space="preserve"> Library</w:t>
      </w:r>
      <w:r>
        <w:rPr>
          <w:sz w:val="20"/>
          <w:szCs w:val="20"/>
        </w:rPr>
        <w:t xml:space="preserve">). Este framework trata exatamente dos serviços, que são o trabalho resultante de toda empresa que fornece serviços de tecnologia. Com o ITIL, melhores práticas são implementadas para solidificar as estruturas da organização no que diz respeito aos serviços prestados de </w:t>
      </w:r>
      <w:r>
        <w:rPr>
          <w:sz w:val="20"/>
          <w:szCs w:val="20"/>
        </w:rPr>
        <w:t xml:space="preserve">T.I. (FELISBERTO, 2017). É notável a carência de ferramentas de avaliação de maturidade ITIL. Apenas se encontram ferramentas de gerenciamento e monitoramento de processos e atividades.  (WEBER, 2013). </w:t>
      </w:r>
    </w:p>
    <w:p w14:paraId="32D16DA6" w14:textId="77777777" w:rsidR="0045329B" w:rsidRDefault="00D92E7F">
      <w:pPr>
        <w:pStyle w:val="Normal1"/>
        <w:ind w:firstLine="720"/>
        <w:jc w:val="both"/>
        <w:rPr>
          <w:sz w:val="20"/>
          <w:szCs w:val="20"/>
        </w:rPr>
      </w:pPr>
      <w:r>
        <w:rPr>
          <w:sz w:val="20"/>
          <w:szCs w:val="20"/>
        </w:rPr>
        <w:t>A proposta do trabalho é apresentar uma aplicação pela qual as empresas consigam fazer seus próprios testes para conhecerem os níveis de prestação de serviços que têm apresentado.</w:t>
      </w:r>
    </w:p>
    <w:p w14:paraId="27684822" w14:textId="77777777" w:rsidR="0045329B" w:rsidRDefault="00D92E7F">
      <w:pPr>
        <w:pStyle w:val="Normal1"/>
        <w:ind w:firstLine="720"/>
        <w:jc w:val="both"/>
        <w:rPr>
          <w:sz w:val="20"/>
          <w:szCs w:val="20"/>
        </w:rPr>
      </w:pPr>
      <w:r>
        <w:rPr>
          <w:sz w:val="20"/>
          <w:szCs w:val="20"/>
        </w:rPr>
        <w:t xml:space="preserve">Um modelo pré-estabelecido - </w:t>
      </w:r>
      <w:proofErr w:type="spellStart"/>
      <w:r>
        <w:rPr>
          <w:sz w:val="20"/>
          <w:szCs w:val="20"/>
        </w:rPr>
        <w:t>template</w:t>
      </w:r>
      <w:proofErr w:type="spellEnd"/>
      <w:r>
        <w:rPr>
          <w:sz w:val="20"/>
          <w:szCs w:val="20"/>
        </w:rPr>
        <w:t xml:space="preserve">-, com base em uma avaliação de maturidade ITIL, foi encontrado no artigo de Silva (2012). Foi proposta uma avaliação dos processos da empresa (no tocante a serviços de tecnologia da informação), e ao calcular os resultados, estes indicam em qual nível de maturidade (classificação) ela está, e quais as projeções para que alcance ou aprimore seus serviços. Assim, o presente trabalho propõe o desenvolvimento da aplicação de software que implementa o modo citado anteriormente, seguindo critérios de qualidade de software, tais como: usabilidade, portabilidade e protocolos mínimos de segurança. Serão apresentados os questionários para que sejam estabelecidas consultorias para adequar a infraestrutura da tecnologia da </w:t>
      </w:r>
      <w:r>
        <w:rPr>
          <w:sz w:val="20"/>
          <w:szCs w:val="20"/>
        </w:rPr>
        <w:lastRenderedPageBreak/>
        <w:t>informação. Os resultados informatizados contribuirão para que as boas práticas ITIL sejam relevantes para o desenvolvimento do negócio.</w:t>
      </w:r>
    </w:p>
    <w:p w14:paraId="66A3F71F" w14:textId="77777777" w:rsidR="0045329B" w:rsidRDefault="00D92E7F" w:rsidP="005C780A">
      <w:pPr>
        <w:pStyle w:val="Ttulo1"/>
        <w:rPr>
          <w:color w:val="000000"/>
        </w:rPr>
      </w:pPr>
      <w:bookmarkStart w:id="1" w:name="_Toc10472151"/>
      <w:r>
        <w:t>REFERENCIAL TEÓRICO</w:t>
      </w:r>
      <w:bookmarkEnd w:id="1"/>
    </w:p>
    <w:p w14:paraId="3B4C57FF" w14:textId="77777777" w:rsidR="0045329B" w:rsidRDefault="00D92E7F" w:rsidP="00452323">
      <w:pPr>
        <w:pStyle w:val="Ttulo2"/>
      </w:pPr>
      <w:bookmarkStart w:id="2" w:name="_Toc10472152"/>
      <w:r>
        <w:t>ITIL V.3</w:t>
      </w:r>
      <w:bookmarkEnd w:id="2"/>
    </w:p>
    <w:p w14:paraId="7AD8B583" w14:textId="77777777" w:rsidR="0045329B" w:rsidRDefault="0045329B">
      <w:pPr>
        <w:pStyle w:val="Normal1"/>
        <w:rPr>
          <w:sz w:val="20"/>
          <w:szCs w:val="20"/>
        </w:rPr>
      </w:pPr>
    </w:p>
    <w:p w14:paraId="66B867A9" w14:textId="77777777" w:rsidR="0045329B" w:rsidRDefault="00D92E7F">
      <w:pPr>
        <w:pStyle w:val="Normal1"/>
        <w:jc w:val="both"/>
        <w:rPr>
          <w:sz w:val="20"/>
          <w:szCs w:val="20"/>
        </w:rPr>
      </w:pPr>
      <w:r>
        <w:rPr>
          <w:sz w:val="20"/>
          <w:szCs w:val="20"/>
        </w:rPr>
        <w:tab/>
        <w:t>A entrega de um serviço por uma empresa de tecnologia de informação não se baseia somente em satisfação do cliente. A empresa deve ter o controle desde o início do processo (desde o gerenciamento de fornecedores), até a consumação, que é quando o cliente final está usufruindo deste serviço prestado ou realizado. O framework responsável por tal controle e não somente controle, mas estratégias, gerenciamentos, definições é o ITIL (</w:t>
      </w:r>
      <w:proofErr w:type="spellStart"/>
      <w:r>
        <w:rPr>
          <w:i/>
          <w:sz w:val="20"/>
          <w:szCs w:val="20"/>
        </w:rPr>
        <w:t>Information</w:t>
      </w:r>
      <w:proofErr w:type="spellEnd"/>
      <w:r>
        <w:rPr>
          <w:i/>
          <w:sz w:val="20"/>
          <w:szCs w:val="20"/>
        </w:rPr>
        <w:t xml:space="preserve"> Technology </w:t>
      </w:r>
      <w:proofErr w:type="spellStart"/>
      <w:r>
        <w:rPr>
          <w:i/>
          <w:sz w:val="20"/>
          <w:szCs w:val="20"/>
        </w:rPr>
        <w:t>Infrastructure</w:t>
      </w:r>
      <w:proofErr w:type="spellEnd"/>
      <w:r>
        <w:rPr>
          <w:i/>
          <w:sz w:val="20"/>
          <w:szCs w:val="20"/>
        </w:rPr>
        <w:t xml:space="preserve"> Library</w:t>
      </w:r>
      <w:r>
        <w:rPr>
          <w:sz w:val="20"/>
          <w:szCs w:val="20"/>
        </w:rPr>
        <w:t>), que é um conjunto de livros que busca promover a gestão com foco no cliente e na qualidade dos serviços de gerenciamento da tecnologia da informação (SILVA, 2012).</w:t>
      </w:r>
    </w:p>
    <w:p w14:paraId="4B6DAF03" w14:textId="77777777" w:rsidR="0045329B" w:rsidRDefault="00D92E7F">
      <w:pPr>
        <w:pStyle w:val="Normal1"/>
        <w:jc w:val="both"/>
        <w:rPr>
          <w:sz w:val="20"/>
          <w:szCs w:val="20"/>
        </w:rPr>
      </w:pPr>
      <w:r>
        <w:rPr>
          <w:sz w:val="20"/>
          <w:szCs w:val="20"/>
        </w:rPr>
        <w:tab/>
        <w:t xml:space="preserve">Os </w:t>
      </w:r>
      <w:proofErr w:type="spellStart"/>
      <w:r>
        <w:rPr>
          <w:sz w:val="20"/>
          <w:szCs w:val="20"/>
        </w:rPr>
        <w:t>conteúdos</w:t>
      </w:r>
      <w:proofErr w:type="spellEnd"/>
      <w:r>
        <w:rPr>
          <w:sz w:val="20"/>
          <w:szCs w:val="20"/>
        </w:rPr>
        <w:t xml:space="preserve"> do ITIL versão 3, denominados melhores práticas, estão presentes em uma coleção de cinco livros, os quais organizam os serviços de T.I formando um ciclo de vida. A existência de um ciclo de vida é fundamental para que processos que estão obsoletos sejam tratados, e os novos processos que estão sendo incorporados na empresa sejam alinhados, a fim de que contribuam para dar suporte do negócio (PALMA, 2016).</w:t>
      </w:r>
    </w:p>
    <w:p w14:paraId="49DFE027" w14:textId="77777777" w:rsidR="0045329B" w:rsidRDefault="00D92E7F">
      <w:pPr>
        <w:pStyle w:val="Normal1"/>
        <w:jc w:val="both"/>
        <w:rPr>
          <w:sz w:val="20"/>
          <w:szCs w:val="20"/>
        </w:rPr>
      </w:pPr>
      <w:r>
        <w:rPr>
          <w:sz w:val="20"/>
          <w:szCs w:val="20"/>
        </w:rPr>
        <w:tab/>
        <w:t>As fases do ciclo de vida, que são também títulos dos livros que compõem a biblioteca do ITIL, são: estratégia de serviço (</w:t>
      </w:r>
      <w:proofErr w:type="spellStart"/>
      <w:r>
        <w:rPr>
          <w:i/>
          <w:sz w:val="20"/>
          <w:szCs w:val="20"/>
        </w:rPr>
        <w:t>service</w:t>
      </w:r>
      <w:proofErr w:type="spellEnd"/>
      <w:r>
        <w:rPr>
          <w:i/>
          <w:sz w:val="20"/>
          <w:szCs w:val="20"/>
        </w:rPr>
        <w:t xml:space="preserve"> </w:t>
      </w:r>
      <w:proofErr w:type="spellStart"/>
      <w:r>
        <w:rPr>
          <w:i/>
          <w:sz w:val="20"/>
          <w:szCs w:val="20"/>
        </w:rPr>
        <w:t>strategy</w:t>
      </w:r>
      <w:proofErr w:type="spellEnd"/>
      <w:r>
        <w:rPr>
          <w:sz w:val="20"/>
          <w:szCs w:val="20"/>
        </w:rPr>
        <w:t>), desenho de serviço (</w:t>
      </w:r>
      <w:proofErr w:type="spellStart"/>
      <w:r>
        <w:rPr>
          <w:i/>
          <w:sz w:val="20"/>
          <w:szCs w:val="20"/>
        </w:rPr>
        <w:t>service</w:t>
      </w:r>
      <w:proofErr w:type="spellEnd"/>
      <w:r>
        <w:rPr>
          <w:i/>
          <w:sz w:val="20"/>
          <w:szCs w:val="20"/>
        </w:rPr>
        <w:t xml:space="preserve"> design</w:t>
      </w:r>
      <w:r>
        <w:rPr>
          <w:sz w:val="20"/>
          <w:szCs w:val="20"/>
        </w:rPr>
        <w:t>), transição de serviço (</w:t>
      </w:r>
      <w:proofErr w:type="spellStart"/>
      <w:r>
        <w:rPr>
          <w:i/>
          <w:sz w:val="20"/>
          <w:szCs w:val="20"/>
        </w:rPr>
        <w:t>service</w:t>
      </w:r>
      <w:proofErr w:type="spellEnd"/>
      <w:r>
        <w:rPr>
          <w:i/>
          <w:sz w:val="20"/>
          <w:szCs w:val="20"/>
        </w:rPr>
        <w:t xml:space="preserve"> </w:t>
      </w:r>
      <w:proofErr w:type="spellStart"/>
      <w:r>
        <w:rPr>
          <w:i/>
          <w:sz w:val="20"/>
          <w:szCs w:val="20"/>
        </w:rPr>
        <w:t>transition</w:t>
      </w:r>
      <w:proofErr w:type="spellEnd"/>
      <w:r>
        <w:rPr>
          <w:sz w:val="20"/>
          <w:szCs w:val="20"/>
        </w:rPr>
        <w:t>), operação de serviço (</w:t>
      </w:r>
      <w:proofErr w:type="spellStart"/>
      <w:r>
        <w:rPr>
          <w:i/>
          <w:sz w:val="20"/>
          <w:szCs w:val="20"/>
        </w:rPr>
        <w:t>service</w:t>
      </w:r>
      <w:proofErr w:type="spellEnd"/>
      <w:r>
        <w:rPr>
          <w:i/>
          <w:sz w:val="20"/>
          <w:szCs w:val="20"/>
        </w:rPr>
        <w:t xml:space="preserve"> </w:t>
      </w:r>
      <w:proofErr w:type="spellStart"/>
      <w:r>
        <w:rPr>
          <w:i/>
          <w:sz w:val="20"/>
          <w:szCs w:val="20"/>
        </w:rPr>
        <w:t>operation</w:t>
      </w:r>
      <w:proofErr w:type="spellEnd"/>
      <w:r>
        <w:rPr>
          <w:sz w:val="20"/>
          <w:szCs w:val="20"/>
        </w:rPr>
        <w:t>) e melhoria contínua (</w:t>
      </w:r>
      <w:proofErr w:type="spellStart"/>
      <w:r>
        <w:rPr>
          <w:i/>
          <w:sz w:val="20"/>
          <w:szCs w:val="20"/>
        </w:rPr>
        <w:t>service</w:t>
      </w:r>
      <w:proofErr w:type="spellEnd"/>
      <w:r>
        <w:rPr>
          <w:i/>
          <w:sz w:val="20"/>
          <w:szCs w:val="20"/>
        </w:rPr>
        <w:t xml:space="preserve"> </w:t>
      </w:r>
      <w:proofErr w:type="spellStart"/>
      <w:r>
        <w:rPr>
          <w:i/>
          <w:sz w:val="20"/>
          <w:szCs w:val="20"/>
        </w:rPr>
        <w:t>improvement</w:t>
      </w:r>
      <w:proofErr w:type="spellEnd"/>
      <w:r>
        <w:rPr>
          <w:sz w:val="20"/>
          <w:szCs w:val="20"/>
        </w:rPr>
        <w:t>). Todos os conteúdos descritos nestes livros remetem ao uso do ITIL como recomendações - e não regulamentações-, ponto de partida e independência de plataforma ou empresa (MAGALHÃES e PINHEIRO, 2007).</w:t>
      </w:r>
    </w:p>
    <w:p w14:paraId="2CA71EBF" w14:textId="77777777" w:rsidR="0045329B" w:rsidRDefault="0045329B">
      <w:pPr>
        <w:pStyle w:val="Normal1"/>
        <w:rPr>
          <w:sz w:val="20"/>
          <w:szCs w:val="20"/>
        </w:rPr>
      </w:pPr>
    </w:p>
    <w:p w14:paraId="2253526A" w14:textId="77777777" w:rsidR="0045329B" w:rsidRPr="00452323" w:rsidRDefault="00D92E7F" w:rsidP="00452323">
      <w:pPr>
        <w:pStyle w:val="Ttulo2"/>
      </w:pPr>
      <w:bookmarkStart w:id="3" w:name="_Toc10472153"/>
      <w:r w:rsidRPr="00452323">
        <w:t>ESTRATÉGIA DE SERVIÇOS</w:t>
      </w:r>
      <w:bookmarkEnd w:id="3"/>
    </w:p>
    <w:p w14:paraId="718D7BDB" w14:textId="77777777" w:rsidR="0045329B" w:rsidRDefault="0045329B">
      <w:pPr>
        <w:pStyle w:val="Normal1"/>
        <w:rPr>
          <w:sz w:val="20"/>
          <w:szCs w:val="20"/>
        </w:rPr>
      </w:pPr>
    </w:p>
    <w:p w14:paraId="5BD5681C" w14:textId="77777777" w:rsidR="0045329B" w:rsidRDefault="00D92E7F">
      <w:pPr>
        <w:pStyle w:val="Normal1"/>
        <w:jc w:val="both"/>
        <w:rPr>
          <w:sz w:val="20"/>
          <w:szCs w:val="20"/>
        </w:rPr>
      </w:pPr>
      <w:r>
        <w:rPr>
          <w:sz w:val="20"/>
          <w:szCs w:val="20"/>
        </w:rPr>
        <w:tab/>
        <w:t>Um dos livros da biblioteca ITIL, “estratégia de serviços” (</w:t>
      </w:r>
      <w:r>
        <w:rPr>
          <w:i/>
          <w:sz w:val="20"/>
          <w:szCs w:val="20"/>
        </w:rPr>
        <w:t xml:space="preserve">Service </w:t>
      </w:r>
      <w:proofErr w:type="spellStart"/>
      <w:r>
        <w:rPr>
          <w:i/>
          <w:sz w:val="20"/>
          <w:szCs w:val="20"/>
        </w:rPr>
        <w:t>strategy</w:t>
      </w:r>
      <w:proofErr w:type="spellEnd"/>
      <w:r>
        <w:rPr>
          <w:sz w:val="20"/>
          <w:szCs w:val="20"/>
        </w:rPr>
        <w:t xml:space="preserve">), contém diretrizes que contribuem para o alinhamento da T.I à estratégia do negócio. (FERNANDO e ABREU </w:t>
      </w:r>
      <w:r>
        <w:rPr>
          <w:i/>
          <w:sz w:val="20"/>
          <w:szCs w:val="20"/>
        </w:rPr>
        <w:t xml:space="preserve">apud </w:t>
      </w:r>
      <w:r>
        <w:rPr>
          <w:sz w:val="20"/>
          <w:szCs w:val="20"/>
        </w:rPr>
        <w:t xml:space="preserve">DA SILVA, DA SILVA OLIVEIRA, DE MELO, 2016). </w:t>
      </w:r>
    </w:p>
    <w:p w14:paraId="2507D536" w14:textId="77777777" w:rsidR="0045329B" w:rsidRDefault="00D92E7F">
      <w:pPr>
        <w:pStyle w:val="Normal1"/>
        <w:ind w:firstLine="720"/>
        <w:jc w:val="both"/>
        <w:rPr>
          <w:sz w:val="20"/>
          <w:szCs w:val="20"/>
        </w:rPr>
      </w:pPr>
      <w:r>
        <w:rPr>
          <w:sz w:val="20"/>
          <w:szCs w:val="20"/>
        </w:rPr>
        <w:t>A fase de estratégia de serviços é o ponto de partida para que os demais processos do ciclo de vida de serviço sejam realizados. O gerenciamento do portfólio de serviços pode ser considerado como uma subfase da estratégia de serviços.</w:t>
      </w:r>
    </w:p>
    <w:p w14:paraId="388B46B1" w14:textId="77777777" w:rsidR="0045329B" w:rsidRDefault="00D92E7F">
      <w:pPr>
        <w:pStyle w:val="Normal1"/>
        <w:jc w:val="both"/>
        <w:rPr>
          <w:sz w:val="20"/>
          <w:szCs w:val="20"/>
        </w:rPr>
      </w:pPr>
      <w:r>
        <w:rPr>
          <w:sz w:val="20"/>
          <w:szCs w:val="20"/>
        </w:rPr>
        <w:tab/>
        <w:t xml:space="preserve">O portfólio de serviços é a principal ferramenta da estratégia de serviços, pois contém os serviços entregues pelo provedor. Sua organização interna é formalizada por outros dois subcomponentes: funil de serviços, catálogo de serviços e serviços obsoletos (SILVA e SANTOS, 2013). </w:t>
      </w:r>
    </w:p>
    <w:p w14:paraId="5223D87B" w14:textId="77777777" w:rsidR="0045329B" w:rsidRDefault="00D92E7F">
      <w:pPr>
        <w:pStyle w:val="Normal1"/>
        <w:jc w:val="both"/>
        <w:rPr>
          <w:sz w:val="20"/>
          <w:szCs w:val="20"/>
        </w:rPr>
      </w:pPr>
      <w:r>
        <w:rPr>
          <w:sz w:val="20"/>
          <w:szCs w:val="20"/>
        </w:rPr>
        <w:tab/>
        <w:t xml:space="preserve">O catálogo de serviços contém os serviços disponíveis para o usuário. Enquanto o portfólio documenta os serviços entregues pelo provedor, o catálogo </w:t>
      </w:r>
      <w:r>
        <w:rPr>
          <w:sz w:val="20"/>
          <w:szCs w:val="20"/>
        </w:rPr>
        <w:t>de serviços detalha apenas os processos aos quais o usuário necessita conhecer.</w:t>
      </w:r>
    </w:p>
    <w:p w14:paraId="4434BAE7" w14:textId="77777777" w:rsidR="0045329B" w:rsidRDefault="00D92E7F">
      <w:pPr>
        <w:pStyle w:val="Normal1"/>
        <w:jc w:val="both"/>
        <w:rPr>
          <w:sz w:val="20"/>
          <w:szCs w:val="20"/>
        </w:rPr>
      </w:pPr>
      <w:r>
        <w:rPr>
          <w:sz w:val="20"/>
          <w:szCs w:val="20"/>
        </w:rPr>
        <w:tab/>
        <w:t>Os serviços obsoletos são os serviços descontinuados, sejam eles do portfólio de serviços ou do catálogo de serviços.</w:t>
      </w:r>
    </w:p>
    <w:p w14:paraId="35F3100D" w14:textId="77777777" w:rsidR="0045329B" w:rsidRDefault="00D92E7F">
      <w:pPr>
        <w:pStyle w:val="Normal1"/>
        <w:jc w:val="both"/>
        <w:rPr>
          <w:sz w:val="20"/>
          <w:szCs w:val="20"/>
        </w:rPr>
      </w:pPr>
      <w:r>
        <w:rPr>
          <w:sz w:val="20"/>
          <w:szCs w:val="20"/>
        </w:rPr>
        <w:tab/>
        <w:t xml:space="preserve">Pela descrição acima, nota-se que a ferramenta “catálogo de serviços” tem um grande papel quanto à demanda que a empresa tem que estar preparada para atender, pois são os serviços que ela deve oferecer ao usuário. Tal processo é incorporado em outra definição contida na estratégia de serviço, que é nomeada de gerenciamento de demanda. </w:t>
      </w:r>
    </w:p>
    <w:p w14:paraId="48BB9E49" w14:textId="77777777" w:rsidR="0045329B" w:rsidRDefault="00D92E7F">
      <w:pPr>
        <w:pStyle w:val="Normal1"/>
        <w:jc w:val="both"/>
        <w:rPr>
          <w:sz w:val="20"/>
          <w:szCs w:val="20"/>
        </w:rPr>
      </w:pPr>
      <w:r>
        <w:rPr>
          <w:sz w:val="20"/>
          <w:szCs w:val="20"/>
        </w:rPr>
        <w:tab/>
        <w:t>Seguindo o modelo de avaliação de Silva (2012), para a fase de estratégia de serviços, foram avaliados o gerenciamento financeiro de T.I e o gerenciamento da demanda.</w:t>
      </w:r>
    </w:p>
    <w:p w14:paraId="60B42F02" w14:textId="77777777" w:rsidR="0045329B" w:rsidRDefault="00D92E7F">
      <w:pPr>
        <w:pStyle w:val="Normal1"/>
        <w:ind w:firstLine="720"/>
        <w:jc w:val="both"/>
        <w:rPr>
          <w:sz w:val="20"/>
          <w:szCs w:val="20"/>
        </w:rPr>
      </w:pPr>
      <w:r>
        <w:rPr>
          <w:sz w:val="20"/>
          <w:szCs w:val="20"/>
        </w:rPr>
        <w:t xml:space="preserve">O gerenciamento financeiro de T.I, em resumo, trabalha com duas variáveis: custo e qualidade do serviço. A palavra-chave este gerenciamento é equilíbrio. </w:t>
      </w:r>
    </w:p>
    <w:p w14:paraId="7B7C4D6B" w14:textId="77777777" w:rsidR="0045329B" w:rsidRDefault="00D92E7F">
      <w:pPr>
        <w:pStyle w:val="Normal1"/>
        <w:ind w:firstLine="720"/>
        <w:jc w:val="both"/>
        <w:rPr>
          <w:sz w:val="20"/>
          <w:szCs w:val="20"/>
        </w:rPr>
      </w:pPr>
      <w:r>
        <w:rPr>
          <w:sz w:val="20"/>
          <w:szCs w:val="20"/>
        </w:rPr>
        <w:t>O equilíbrio da oferta e demanda entre o provedor de serviços e seus clientes é mantido pelo gerenciamento financeiro de T.I (CANAVER, 2014).</w:t>
      </w:r>
    </w:p>
    <w:p w14:paraId="6AB2FF13" w14:textId="77777777" w:rsidR="0045329B" w:rsidRDefault="00D92E7F">
      <w:pPr>
        <w:pStyle w:val="Normal1"/>
        <w:ind w:firstLine="720"/>
        <w:jc w:val="both"/>
        <w:rPr>
          <w:sz w:val="20"/>
          <w:szCs w:val="20"/>
        </w:rPr>
      </w:pPr>
      <w:r>
        <w:rPr>
          <w:sz w:val="20"/>
          <w:szCs w:val="20"/>
        </w:rPr>
        <w:t xml:space="preserve">O relacionamento entre o gerenciamento financeiro e o portfólio de serviços é que o primeiro auxilia na aprovação ou não de um serviço proposto no segundo (PALMA, 2016). </w:t>
      </w:r>
    </w:p>
    <w:p w14:paraId="6FF069D2" w14:textId="77777777" w:rsidR="0045329B" w:rsidRDefault="00D92E7F">
      <w:pPr>
        <w:pStyle w:val="Normal1"/>
        <w:ind w:firstLine="720"/>
        <w:jc w:val="both"/>
        <w:rPr>
          <w:sz w:val="20"/>
          <w:szCs w:val="20"/>
        </w:rPr>
      </w:pPr>
      <w:r>
        <w:rPr>
          <w:sz w:val="20"/>
          <w:szCs w:val="20"/>
        </w:rPr>
        <w:t>O gerenciamento da demanda é um processo descritivo, pois nele a identificação de padrões de atividades e o detalhamento de processos definem os suprimentos para as atividades de T.I (PALMA, 2016).</w:t>
      </w:r>
    </w:p>
    <w:p w14:paraId="75188908" w14:textId="77777777" w:rsidR="0045329B" w:rsidRDefault="00D92E7F">
      <w:pPr>
        <w:pStyle w:val="Normal1"/>
        <w:ind w:firstLine="720"/>
        <w:jc w:val="both"/>
        <w:rPr>
          <w:sz w:val="20"/>
          <w:szCs w:val="20"/>
        </w:rPr>
      </w:pPr>
      <w:r>
        <w:rPr>
          <w:sz w:val="20"/>
          <w:szCs w:val="20"/>
        </w:rPr>
        <w:t>A associação entre o gerenciamento da demanda com o catálogo de serviços está no fato de que este gerenciamento promove conhecimento de processos, tais como um faturamento que sempre em um dia fixo do mês (ANTONIO, 2015).</w:t>
      </w:r>
    </w:p>
    <w:p w14:paraId="494DFFE7" w14:textId="77777777" w:rsidR="0045329B" w:rsidRDefault="00D92E7F">
      <w:pPr>
        <w:pStyle w:val="Normal1"/>
        <w:jc w:val="both"/>
        <w:rPr>
          <w:sz w:val="20"/>
          <w:szCs w:val="20"/>
        </w:rPr>
      </w:pPr>
      <w:r>
        <w:rPr>
          <w:sz w:val="20"/>
          <w:szCs w:val="20"/>
        </w:rPr>
        <w:tab/>
      </w:r>
    </w:p>
    <w:p w14:paraId="505F0E78" w14:textId="77777777" w:rsidR="0045329B" w:rsidRDefault="00D92E7F" w:rsidP="00452323">
      <w:pPr>
        <w:pStyle w:val="Ttulo2"/>
        <w:spacing w:after="240"/>
      </w:pPr>
      <w:bookmarkStart w:id="4" w:name="_Toc10472154"/>
      <w:r>
        <w:t>DESENHO DE SERVIÇOS</w:t>
      </w:r>
      <w:bookmarkEnd w:id="4"/>
    </w:p>
    <w:p w14:paraId="69BAEB5B" w14:textId="77777777" w:rsidR="0045329B" w:rsidRDefault="00D92E7F">
      <w:pPr>
        <w:pStyle w:val="Normal1"/>
        <w:jc w:val="both"/>
        <w:rPr>
          <w:sz w:val="20"/>
          <w:szCs w:val="20"/>
        </w:rPr>
      </w:pPr>
      <w:r>
        <w:rPr>
          <w:b/>
          <w:sz w:val="20"/>
          <w:szCs w:val="20"/>
        </w:rPr>
        <w:tab/>
      </w:r>
      <w:r>
        <w:rPr>
          <w:sz w:val="20"/>
          <w:szCs w:val="20"/>
        </w:rPr>
        <w:t>O desenho ou projeto de serviços (</w:t>
      </w:r>
      <w:r>
        <w:rPr>
          <w:i/>
          <w:sz w:val="20"/>
          <w:szCs w:val="20"/>
        </w:rPr>
        <w:t xml:space="preserve">Design </w:t>
      </w:r>
      <w:proofErr w:type="spellStart"/>
      <w:r>
        <w:rPr>
          <w:i/>
          <w:sz w:val="20"/>
          <w:szCs w:val="20"/>
        </w:rPr>
        <w:t>service</w:t>
      </w:r>
      <w:proofErr w:type="spellEnd"/>
      <w:r>
        <w:rPr>
          <w:sz w:val="20"/>
          <w:szCs w:val="20"/>
        </w:rPr>
        <w:t>), e seus gerenciamentos, tratam da entrega e da interação dos serviços (MENDES, 2018). Não o tratam como algo isolado, mas como algo mensurável e digno de análise de riscos.</w:t>
      </w:r>
    </w:p>
    <w:p w14:paraId="42E3F320" w14:textId="77777777" w:rsidR="0045329B" w:rsidRDefault="00D92E7F">
      <w:pPr>
        <w:pStyle w:val="Normal1"/>
        <w:jc w:val="both"/>
        <w:rPr>
          <w:sz w:val="20"/>
          <w:szCs w:val="20"/>
        </w:rPr>
      </w:pPr>
      <w:r>
        <w:rPr>
          <w:sz w:val="20"/>
          <w:szCs w:val="20"/>
        </w:rPr>
        <w:tab/>
        <w:t>Para avaliação de maturidade segundo Silva (2012), foram utilizados os seguintes processos: gerenciamento do catálogo de serviços, gerenciamento do nível de serviços, gerenciamento da disponibilidade, gerenciamento da continuidade de serviços, gerenciamento de segurança da informação,  gerenciamento de fornecedor e gerenciamento da capacidade (esse último foi disponibilizado para seis vertentes: infraestrutura de serviços, banco de dados, rede local, rede de longa distância, serviços de rede e microinformática).</w:t>
      </w:r>
    </w:p>
    <w:p w14:paraId="3DF2F023" w14:textId="77777777" w:rsidR="0045329B" w:rsidRDefault="0045329B">
      <w:pPr>
        <w:pStyle w:val="Normal1"/>
        <w:jc w:val="both"/>
        <w:rPr>
          <w:b/>
          <w:sz w:val="20"/>
          <w:szCs w:val="20"/>
        </w:rPr>
      </w:pPr>
    </w:p>
    <w:p w14:paraId="2BF33C91" w14:textId="77777777" w:rsidR="0045329B" w:rsidRDefault="00D92E7F" w:rsidP="00452323">
      <w:pPr>
        <w:pStyle w:val="Ttulo2"/>
      </w:pPr>
      <w:bookmarkStart w:id="5" w:name="_Toc10472155"/>
      <w:r>
        <w:t>TRANSIÇÃO DE SERVIÇOS</w:t>
      </w:r>
      <w:bookmarkEnd w:id="5"/>
    </w:p>
    <w:p w14:paraId="2D6755F4" w14:textId="77777777" w:rsidR="0045329B" w:rsidRDefault="0045329B">
      <w:pPr>
        <w:pStyle w:val="Normal1"/>
        <w:jc w:val="both"/>
        <w:rPr>
          <w:b/>
          <w:sz w:val="20"/>
          <w:szCs w:val="20"/>
        </w:rPr>
      </w:pPr>
    </w:p>
    <w:p w14:paraId="70592BDB" w14:textId="77777777" w:rsidR="0045329B" w:rsidRDefault="00D92E7F">
      <w:pPr>
        <w:pStyle w:val="Normal1"/>
        <w:ind w:firstLine="720"/>
        <w:jc w:val="both"/>
        <w:rPr>
          <w:b/>
          <w:sz w:val="20"/>
          <w:szCs w:val="20"/>
        </w:rPr>
      </w:pPr>
      <w:r>
        <w:rPr>
          <w:sz w:val="20"/>
          <w:szCs w:val="20"/>
        </w:rPr>
        <w:t>Na fase denominada transição de serviços (</w:t>
      </w:r>
      <w:proofErr w:type="spellStart"/>
      <w:r>
        <w:rPr>
          <w:i/>
          <w:sz w:val="20"/>
          <w:szCs w:val="20"/>
        </w:rPr>
        <w:t>Transition</w:t>
      </w:r>
      <w:proofErr w:type="spellEnd"/>
      <w:r>
        <w:rPr>
          <w:i/>
          <w:sz w:val="20"/>
          <w:szCs w:val="20"/>
        </w:rPr>
        <w:t xml:space="preserve"> </w:t>
      </w:r>
      <w:proofErr w:type="spellStart"/>
      <w:r>
        <w:rPr>
          <w:i/>
          <w:sz w:val="20"/>
          <w:szCs w:val="20"/>
        </w:rPr>
        <w:t>service</w:t>
      </w:r>
      <w:proofErr w:type="spellEnd"/>
      <w:r>
        <w:rPr>
          <w:sz w:val="20"/>
          <w:szCs w:val="20"/>
        </w:rPr>
        <w:t xml:space="preserve">), as atividades principais </w:t>
      </w:r>
      <w:proofErr w:type="gramStart"/>
      <w:r>
        <w:rPr>
          <w:sz w:val="20"/>
          <w:szCs w:val="20"/>
        </w:rPr>
        <w:t>são  observância</w:t>
      </w:r>
      <w:proofErr w:type="gramEnd"/>
      <w:r>
        <w:rPr>
          <w:sz w:val="20"/>
          <w:szCs w:val="20"/>
        </w:rPr>
        <w:t xml:space="preserve"> dos processos das fases anteriores e a transferência destes para o ambiente de produção, e o </w:t>
      </w:r>
      <w:r>
        <w:rPr>
          <w:sz w:val="20"/>
          <w:szCs w:val="20"/>
        </w:rPr>
        <w:lastRenderedPageBreak/>
        <w:t>planejamento de ocorrência de falhas na operação dos serviço (SILVA, 2012).</w:t>
      </w:r>
      <w:r>
        <w:rPr>
          <w:b/>
          <w:sz w:val="20"/>
          <w:szCs w:val="20"/>
        </w:rPr>
        <w:tab/>
      </w:r>
    </w:p>
    <w:p w14:paraId="27F475EF" w14:textId="77777777" w:rsidR="0045329B" w:rsidRDefault="00D92E7F">
      <w:pPr>
        <w:pStyle w:val="Normal1"/>
        <w:ind w:firstLine="720"/>
        <w:jc w:val="both"/>
        <w:rPr>
          <w:sz w:val="20"/>
          <w:szCs w:val="20"/>
        </w:rPr>
      </w:pPr>
      <w:r>
        <w:rPr>
          <w:sz w:val="20"/>
          <w:szCs w:val="20"/>
        </w:rPr>
        <w:t>Na composição da avaliação da maturidade, Silva (2012) utiliza os seguintes gerenciamentos da fase de transição de serviços: gerenciamento de mudança e gerenciamento da configuração.</w:t>
      </w:r>
    </w:p>
    <w:p w14:paraId="685D1196" w14:textId="77777777" w:rsidR="0045329B" w:rsidRDefault="0045329B">
      <w:pPr>
        <w:pStyle w:val="Normal1"/>
        <w:jc w:val="both"/>
        <w:rPr>
          <w:b/>
          <w:sz w:val="20"/>
          <w:szCs w:val="20"/>
        </w:rPr>
      </w:pPr>
    </w:p>
    <w:p w14:paraId="5578976F" w14:textId="77777777" w:rsidR="0045329B" w:rsidRDefault="00D92E7F" w:rsidP="00452323">
      <w:pPr>
        <w:pStyle w:val="Ttulo2"/>
      </w:pPr>
      <w:bookmarkStart w:id="6" w:name="_Toc10472156"/>
      <w:r>
        <w:t>OPERAÇÃO DE SERVIÇOS</w:t>
      </w:r>
      <w:bookmarkEnd w:id="6"/>
    </w:p>
    <w:p w14:paraId="0E566567" w14:textId="77777777" w:rsidR="0045329B" w:rsidRDefault="0045329B">
      <w:pPr>
        <w:pStyle w:val="Normal1"/>
        <w:jc w:val="both"/>
        <w:rPr>
          <w:b/>
          <w:sz w:val="20"/>
          <w:szCs w:val="20"/>
        </w:rPr>
      </w:pPr>
    </w:p>
    <w:p w14:paraId="237CDF5C" w14:textId="77777777" w:rsidR="0045329B" w:rsidRDefault="00D92E7F">
      <w:pPr>
        <w:pStyle w:val="Normal1"/>
        <w:ind w:firstLine="720"/>
        <w:jc w:val="both"/>
        <w:rPr>
          <w:sz w:val="20"/>
          <w:szCs w:val="20"/>
        </w:rPr>
      </w:pPr>
      <w:r>
        <w:rPr>
          <w:sz w:val="20"/>
          <w:szCs w:val="20"/>
        </w:rPr>
        <w:t>A operação de serviços (</w:t>
      </w:r>
      <w:r>
        <w:rPr>
          <w:i/>
          <w:sz w:val="20"/>
          <w:szCs w:val="20"/>
        </w:rPr>
        <w:t xml:space="preserve">Service </w:t>
      </w:r>
      <w:proofErr w:type="spellStart"/>
      <w:r>
        <w:rPr>
          <w:i/>
          <w:sz w:val="20"/>
          <w:szCs w:val="20"/>
        </w:rPr>
        <w:t>operation</w:t>
      </w:r>
      <w:proofErr w:type="spellEnd"/>
      <w:r>
        <w:rPr>
          <w:sz w:val="20"/>
          <w:szCs w:val="20"/>
        </w:rPr>
        <w:t xml:space="preserve">) é a fase que aborda as atividades e seu escopo com o nível acordado com o cliente. </w:t>
      </w:r>
    </w:p>
    <w:p w14:paraId="08919615" w14:textId="77777777" w:rsidR="0045329B" w:rsidRDefault="00D92E7F">
      <w:pPr>
        <w:pStyle w:val="Normal1"/>
        <w:ind w:firstLine="720"/>
        <w:jc w:val="both"/>
        <w:rPr>
          <w:sz w:val="20"/>
          <w:szCs w:val="20"/>
        </w:rPr>
      </w:pPr>
      <w:r>
        <w:rPr>
          <w:sz w:val="20"/>
          <w:szCs w:val="20"/>
        </w:rPr>
        <w:t xml:space="preserve">Segundo Oliveira (2016), esta fase é a única que compreende a funcionalidade e a integração no que se refere a equipe e métodos que realizam processos específicos.  </w:t>
      </w:r>
    </w:p>
    <w:p w14:paraId="543745F2" w14:textId="77777777" w:rsidR="0045329B" w:rsidRDefault="00D92E7F">
      <w:pPr>
        <w:pStyle w:val="Normal1"/>
        <w:ind w:firstLine="720"/>
        <w:jc w:val="both"/>
        <w:rPr>
          <w:sz w:val="20"/>
          <w:szCs w:val="20"/>
        </w:rPr>
      </w:pPr>
      <w:r>
        <w:rPr>
          <w:sz w:val="20"/>
          <w:szCs w:val="20"/>
        </w:rPr>
        <w:t xml:space="preserve">Os </w:t>
      </w:r>
      <w:proofErr w:type="spellStart"/>
      <w:r>
        <w:rPr>
          <w:sz w:val="20"/>
          <w:szCs w:val="20"/>
        </w:rPr>
        <w:t>sub-processos</w:t>
      </w:r>
      <w:proofErr w:type="spellEnd"/>
      <w:r>
        <w:rPr>
          <w:sz w:val="20"/>
          <w:szCs w:val="20"/>
        </w:rPr>
        <w:t xml:space="preserve"> ou gerenciamentos que seguem o modelo de avaliação de Silva (2012) para a operação de serviços são: gerenciamento de eventos, gerenciamento de incidentes, gerenciamento de problema e gerenciamento de acessos.</w:t>
      </w:r>
    </w:p>
    <w:p w14:paraId="67833618" w14:textId="77777777" w:rsidR="0045329B" w:rsidRDefault="0045329B">
      <w:pPr>
        <w:pStyle w:val="Normal1"/>
        <w:ind w:firstLine="720"/>
        <w:jc w:val="both"/>
        <w:rPr>
          <w:sz w:val="20"/>
          <w:szCs w:val="20"/>
        </w:rPr>
      </w:pPr>
    </w:p>
    <w:p w14:paraId="2FBF271D" w14:textId="77777777" w:rsidR="0045329B" w:rsidRDefault="00D92E7F" w:rsidP="00452323">
      <w:pPr>
        <w:pStyle w:val="Ttulo2"/>
      </w:pPr>
      <w:bookmarkStart w:id="7" w:name="_Toc10472157"/>
      <w:r>
        <w:t>MELHORIA CONTÍNUA DE SERVIÇOS</w:t>
      </w:r>
      <w:bookmarkEnd w:id="7"/>
    </w:p>
    <w:p w14:paraId="534C48B1" w14:textId="77777777" w:rsidR="0045329B" w:rsidRDefault="0045329B">
      <w:pPr>
        <w:pStyle w:val="Normal1"/>
        <w:jc w:val="both"/>
        <w:rPr>
          <w:sz w:val="20"/>
          <w:szCs w:val="20"/>
        </w:rPr>
      </w:pPr>
    </w:p>
    <w:p w14:paraId="308DA13E" w14:textId="77777777" w:rsidR="0045329B" w:rsidRDefault="00D92E7F">
      <w:pPr>
        <w:pStyle w:val="Normal1"/>
        <w:ind w:firstLine="720"/>
        <w:jc w:val="both"/>
        <w:rPr>
          <w:sz w:val="20"/>
          <w:szCs w:val="20"/>
        </w:rPr>
      </w:pPr>
      <w:r>
        <w:rPr>
          <w:sz w:val="20"/>
          <w:szCs w:val="20"/>
        </w:rPr>
        <w:t xml:space="preserve">A fase </w:t>
      </w:r>
      <w:proofErr w:type="gramStart"/>
      <w:r>
        <w:rPr>
          <w:sz w:val="20"/>
          <w:szCs w:val="20"/>
        </w:rPr>
        <w:t>de  melhoria</w:t>
      </w:r>
      <w:proofErr w:type="gramEnd"/>
      <w:r>
        <w:rPr>
          <w:sz w:val="20"/>
          <w:szCs w:val="20"/>
        </w:rPr>
        <w:t xml:space="preserve"> contínua de serviços (</w:t>
      </w:r>
      <w:r>
        <w:rPr>
          <w:i/>
          <w:sz w:val="20"/>
          <w:szCs w:val="20"/>
        </w:rPr>
        <w:t xml:space="preserve">Service </w:t>
      </w:r>
      <w:proofErr w:type="spellStart"/>
      <w:r>
        <w:rPr>
          <w:i/>
          <w:sz w:val="20"/>
          <w:szCs w:val="20"/>
        </w:rPr>
        <w:t>improvement</w:t>
      </w:r>
      <w:proofErr w:type="spellEnd"/>
      <w:r>
        <w:rPr>
          <w:sz w:val="20"/>
          <w:szCs w:val="20"/>
        </w:rPr>
        <w:t xml:space="preserve">) e seu gerenciamento, que traz o mesmo nome, orientam o quesito aperfeiçoamento de processos, por meio de mensuração e relatórios de maturidade (CASE; SPALDING, 2010 </w:t>
      </w:r>
      <w:r>
        <w:rPr>
          <w:i/>
          <w:sz w:val="20"/>
          <w:szCs w:val="20"/>
        </w:rPr>
        <w:t xml:space="preserve">apud </w:t>
      </w:r>
      <w:r>
        <w:rPr>
          <w:sz w:val="20"/>
          <w:szCs w:val="20"/>
        </w:rPr>
        <w:t xml:space="preserve">SILVA, 2012). É uma fase do ciclo de vida que sempre a empresa </w:t>
      </w:r>
      <w:proofErr w:type="gramStart"/>
      <w:r>
        <w:rPr>
          <w:sz w:val="20"/>
          <w:szCs w:val="20"/>
        </w:rPr>
        <w:t>estará apontando</w:t>
      </w:r>
      <w:proofErr w:type="gramEnd"/>
      <w:r>
        <w:rPr>
          <w:sz w:val="20"/>
          <w:szCs w:val="20"/>
        </w:rPr>
        <w:t xml:space="preserve"> para ela, pois os processos necessitam ser verificados e constantemente melhorados, tanto no entendimento quanto na funcionalidade destes no negócio. </w:t>
      </w:r>
    </w:p>
    <w:p w14:paraId="446F936D" w14:textId="77777777" w:rsidR="0045329B" w:rsidRDefault="00D92E7F">
      <w:pPr>
        <w:pStyle w:val="Normal1"/>
        <w:ind w:firstLine="720"/>
        <w:jc w:val="both"/>
        <w:rPr>
          <w:sz w:val="20"/>
          <w:szCs w:val="20"/>
        </w:rPr>
      </w:pPr>
      <w:r>
        <w:rPr>
          <w:sz w:val="20"/>
          <w:szCs w:val="20"/>
        </w:rPr>
        <w:t>Silva (2012) propõe a avaliação da maturidade do gerenciamento de melhoria contínua como único presente nesta fase do ciclo de vida.</w:t>
      </w:r>
    </w:p>
    <w:p w14:paraId="07779684" w14:textId="77777777" w:rsidR="0045329B" w:rsidRDefault="0045329B">
      <w:pPr>
        <w:pStyle w:val="Normal1"/>
        <w:ind w:firstLine="720"/>
        <w:jc w:val="both"/>
        <w:rPr>
          <w:sz w:val="20"/>
          <w:szCs w:val="20"/>
        </w:rPr>
      </w:pPr>
    </w:p>
    <w:p w14:paraId="11D5F83C" w14:textId="77777777" w:rsidR="0045329B" w:rsidRDefault="00D92E7F" w:rsidP="00452323">
      <w:pPr>
        <w:pStyle w:val="Ttulo2"/>
      </w:pPr>
      <w:bookmarkStart w:id="8" w:name="_Toc10472158"/>
      <w:r>
        <w:t>NÍVEIS DE MATURIDADE</w:t>
      </w:r>
      <w:bookmarkEnd w:id="8"/>
    </w:p>
    <w:p w14:paraId="58A0C4B3" w14:textId="77777777" w:rsidR="0045329B" w:rsidRDefault="0045329B">
      <w:pPr>
        <w:pStyle w:val="Normal1"/>
        <w:jc w:val="both"/>
        <w:rPr>
          <w:b/>
          <w:sz w:val="20"/>
          <w:szCs w:val="20"/>
        </w:rPr>
      </w:pPr>
    </w:p>
    <w:p w14:paraId="2AA6FBFE" w14:textId="77777777" w:rsidR="0045329B" w:rsidRDefault="00D92E7F">
      <w:pPr>
        <w:pStyle w:val="Normal1"/>
        <w:ind w:firstLine="720"/>
        <w:jc w:val="both"/>
        <w:rPr>
          <w:sz w:val="20"/>
          <w:szCs w:val="20"/>
        </w:rPr>
      </w:pPr>
      <w:r>
        <w:rPr>
          <w:sz w:val="20"/>
          <w:szCs w:val="20"/>
        </w:rPr>
        <w:t>Um modelo de maturidade trabalha com categorização de níveis predefinidos, que são os níveis de maturidade, para qualificar os processos. O ITIL já tem um modelo que os determinam; este é o PMF (</w:t>
      </w:r>
      <w:proofErr w:type="spellStart"/>
      <w:r>
        <w:rPr>
          <w:i/>
          <w:sz w:val="20"/>
          <w:szCs w:val="20"/>
        </w:rPr>
        <w:t>Process</w:t>
      </w:r>
      <w:proofErr w:type="spellEnd"/>
      <w:r>
        <w:rPr>
          <w:i/>
          <w:sz w:val="20"/>
          <w:szCs w:val="20"/>
        </w:rPr>
        <w:t xml:space="preserve"> </w:t>
      </w:r>
      <w:proofErr w:type="spellStart"/>
      <w:r>
        <w:rPr>
          <w:i/>
          <w:sz w:val="20"/>
          <w:szCs w:val="20"/>
        </w:rPr>
        <w:t>Maturity</w:t>
      </w:r>
      <w:proofErr w:type="spellEnd"/>
      <w:r>
        <w:rPr>
          <w:i/>
          <w:sz w:val="20"/>
          <w:szCs w:val="20"/>
        </w:rPr>
        <w:t xml:space="preserve"> Framework</w:t>
      </w:r>
      <w:r>
        <w:rPr>
          <w:sz w:val="20"/>
          <w:szCs w:val="20"/>
        </w:rPr>
        <w:t>), ou Modelo de Maturidade de processos (SILVA, 2012).</w:t>
      </w:r>
    </w:p>
    <w:p w14:paraId="631E0781" w14:textId="77777777" w:rsidR="0045329B" w:rsidRDefault="00D92E7F">
      <w:pPr>
        <w:pStyle w:val="Normal1"/>
        <w:ind w:firstLine="720"/>
        <w:jc w:val="both"/>
        <w:rPr>
          <w:sz w:val="20"/>
          <w:szCs w:val="20"/>
        </w:rPr>
      </w:pPr>
      <w:r>
        <w:rPr>
          <w:sz w:val="20"/>
          <w:szCs w:val="20"/>
        </w:rPr>
        <w:t>São 5 (cinco) os níveis de maturidade: Inicial, Repetitivo, Definido, Gerenciado e Otimizado.</w:t>
      </w:r>
    </w:p>
    <w:p w14:paraId="1212BD9A" w14:textId="77777777" w:rsidR="0045329B" w:rsidRDefault="00D92E7F">
      <w:pPr>
        <w:pStyle w:val="Normal1"/>
        <w:ind w:firstLine="720"/>
        <w:jc w:val="both"/>
        <w:rPr>
          <w:sz w:val="20"/>
          <w:szCs w:val="20"/>
        </w:rPr>
      </w:pPr>
      <w:r>
        <w:rPr>
          <w:sz w:val="20"/>
          <w:szCs w:val="20"/>
        </w:rPr>
        <w:t xml:space="preserve">A influência dos processos é vinculada às 5 (cinco) dimensões, a saber: visão e </w:t>
      </w:r>
      <w:proofErr w:type="gramStart"/>
      <w:r>
        <w:rPr>
          <w:sz w:val="20"/>
          <w:szCs w:val="20"/>
        </w:rPr>
        <w:t>orientação,  processos</w:t>
      </w:r>
      <w:proofErr w:type="gramEnd"/>
      <w:r>
        <w:rPr>
          <w:sz w:val="20"/>
          <w:szCs w:val="20"/>
        </w:rPr>
        <w:t xml:space="preserve">, pessoas, tecnologia e cultura. </w:t>
      </w:r>
    </w:p>
    <w:p w14:paraId="74007956" w14:textId="77777777" w:rsidR="0045329B" w:rsidRDefault="00D92E7F">
      <w:pPr>
        <w:pStyle w:val="Normal1"/>
        <w:ind w:firstLine="720"/>
        <w:jc w:val="both"/>
        <w:rPr>
          <w:sz w:val="20"/>
          <w:szCs w:val="20"/>
        </w:rPr>
      </w:pPr>
      <w:r>
        <w:rPr>
          <w:sz w:val="20"/>
          <w:szCs w:val="20"/>
        </w:rPr>
        <w:t>Quando uma empresa tem sua maturidade nos serviços de T.I avaliada, os gestores podem rever os processos do ciclo de vida e aplicar correções vinculadas às dimensões de influência dos processos. Realizando tais atividades, pode-se elevar o nível de maturidade.</w:t>
      </w:r>
    </w:p>
    <w:p w14:paraId="513BC184" w14:textId="77777777" w:rsidR="0045329B" w:rsidRDefault="0045329B">
      <w:pPr>
        <w:pStyle w:val="Normal1"/>
        <w:keepNext/>
        <w:rPr>
          <w:b/>
          <w:sz w:val="20"/>
          <w:szCs w:val="20"/>
        </w:rPr>
      </w:pPr>
    </w:p>
    <w:p w14:paraId="7C7BC6BB" w14:textId="77777777" w:rsidR="0045329B" w:rsidRDefault="00D92E7F" w:rsidP="00452323">
      <w:pPr>
        <w:pStyle w:val="Ttulo2"/>
      </w:pPr>
      <w:bookmarkStart w:id="9" w:name="_Toc10472159"/>
      <w:proofErr w:type="gramStart"/>
      <w:r>
        <w:t>ASP.NET  CORE</w:t>
      </w:r>
      <w:bookmarkEnd w:id="9"/>
      <w:proofErr w:type="gramEnd"/>
    </w:p>
    <w:p w14:paraId="3383F5B6" w14:textId="77777777" w:rsidR="0045329B" w:rsidRDefault="00D92E7F">
      <w:pPr>
        <w:pStyle w:val="Normal1"/>
        <w:keepNext/>
        <w:jc w:val="both"/>
        <w:rPr>
          <w:b/>
          <w:sz w:val="20"/>
          <w:szCs w:val="20"/>
        </w:rPr>
      </w:pPr>
      <w:r>
        <w:rPr>
          <w:b/>
          <w:sz w:val="20"/>
          <w:szCs w:val="20"/>
        </w:rPr>
        <w:tab/>
      </w:r>
    </w:p>
    <w:p w14:paraId="687611AB" w14:textId="77777777" w:rsidR="0045329B" w:rsidRDefault="00D92E7F">
      <w:pPr>
        <w:pStyle w:val="Normal1"/>
        <w:keepNext/>
        <w:jc w:val="both"/>
        <w:rPr>
          <w:sz w:val="20"/>
          <w:szCs w:val="20"/>
        </w:rPr>
      </w:pPr>
      <w:r>
        <w:rPr>
          <w:sz w:val="20"/>
          <w:szCs w:val="20"/>
        </w:rPr>
        <w:tab/>
        <w:t xml:space="preserve">O ASP.NET CORE é uma estrutura de software modular disponibilizada pela Microsoft, gratuitamente, na </w:t>
      </w:r>
      <w:r>
        <w:rPr>
          <w:sz w:val="20"/>
          <w:szCs w:val="20"/>
        </w:rPr>
        <w:t>qual é possível criar aplicativos web integrando a linguagem .NET com HTML, CSS, BOOTSTRAP, que são acessórios comuns de confecção de páginas (ROTH, ANDERSON, LUTTIN, 2019).</w:t>
      </w:r>
    </w:p>
    <w:p w14:paraId="1490C310" w14:textId="77777777" w:rsidR="0045329B" w:rsidRDefault="00D92E7F">
      <w:pPr>
        <w:pStyle w:val="Normal1"/>
        <w:spacing w:line="276" w:lineRule="auto"/>
        <w:ind w:firstLine="720"/>
        <w:jc w:val="both"/>
        <w:rPr>
          <w:b/>
          <w:sz w:val="20"/>
          <w:szCs w:val="20"/>
        </w:rPr>
      </w:pPr>
      <w:r>
        <w:rPr>
          <w:sz w:val="20"/>
          <w:szCs w:val="20"/>
        </w:rPr>
        <w:t xml:space="preserve">Através do ASP.NET, podem ser desenvolvidas aplicações locais e em nuvem. A linguagem de programação C# pode comunicar-se com as páginas web através dos recursos oferecidos pela sintaxe </w:t>
      </w:r>
      <w:proofErr w:type="spellStart"/>
      <w:r>
        <w:rPr>
          <w:sz w:val="20"/>
          <w:szCs w:val="20"/>
        </w:rPr>
        <w:t>Razor</w:t>
      </w:r>
      <w:proofErr w:type="spellEnd"/>
      <w:r>
        <w:rPr>
          <w:sz w:val="20"/>
          <w:szCs w:val="20"/>
        </w:rPr>
        <w:t xml:space="preserve"> (PELLIZZONI, 2017).</w:t>
      </w:r>
    </w:p>
    <w:p w14:paraId="1097EC8C" w14:textId="77777777" w:rsidR="0045329B" w:rsidRDefault="0045329B">
      <w:pPr>
        <w:pStyle w:val="Normal1"/>
        <w:keepNext/>
        <w:rPr>
          <w:b/>
          <w:sz w:val="20"/>
          <w:szCs w:val="20"/>
        </w:rPr>
      </w:pPr>
    </w:p>
    <w:p w14:paraId="2F5A5F06" w14:textId="77777777" w:rsidR="0045329B" w:rsidRDefault="00D92E7F" w:rsidP="00452323">
      <w:pPr>
        <w:pStyle w:val="Ttulo2"/>
      </w:pPr>
      <w:bookmarkStart w:id="10" w:name="_Toc10472160"/>
      <w:r>
        <w:t>CSS</w:t>
      </w:r>
      <w:bookmarkEnd w:id="10"/>
    </w:p>
    <w:p w14:paraId="38FC2A71" w14:textId="77777777" w:rsidR="0045329B" w:rsidRDefault="00D92E7F">
      <w:pPr>
        <w:pStyle w:val="Normal1"/>
        <w:keepNext/>
        <w:jc w:val="both"/>
        <w:rPr>
          <w:b/>
          <w:sz w:val="20"/>
          <w:szCs w:val="20"/>
        </w:rPr>
      </w:pPr>
      <w:r>
        <w:rPr>
          <w:b/>
          <w:sz w:val="20"/>
          <w:szCs w:val="20"/>
        </w:rPr>
        <w:tab/>
      </w:r>
    </w:p>
    <w:p w14:paraId="3CF512E8" w14:textId="77777777" w:rsidR="0045329B" w:rsidRDefault="00D92E7F">
      <w:pPr>
        <w:pStyle w:val="Normal1"/>
        <w:keepNext/>
        <w:ind w:firstLine="720"/>
        <w:jc w:val="both"/>
        <w:rPr>
          <w:sz w:val="20"/>
          <w:szCs w:val="20"/>
        </w:rPr>
      </w:pPr>
      <w:r>
        <w:rPr>
          <w:sz w:val="20"/>
          <w:szCs w:val="20"/>
        </w:rPr>
        <w:t>O CSS (</w:t>
      </w:r>
      <w:proofErr w:type="spellStart"/>
      <w:r>
        <w:rPr>
          <w:sz w:val="20"/>
          <w:szCs w:val="20"/>
        </w:rPr>
        <w:t>Cascading</w:t>
      </w:r>
      <w:proofErr w:type="spellEnd"/>
      <w:r>
        <w:rPr>
          <w:sz w:val="20"/>
          <w:szCs w:val="20"/>
        </w:rPr>
        <w:t xml:space="preserve"> </w:t>
      </w:r>
      <w:proofErr w:type="spellStart"/>
      <w:r>
        <w:rPr>
          <w:sz w:val="20"/>
          <w:szCs w:val="20"/>
        </w:rPr>
        <w:t>Style</w:t>
      </w:r>
      <w:proofErr w:type="spellEnd"/>
      <w:r>
        <w:rPr>
          <w:sz w:val="20"/>
          <w:szCs w:val="20"/>
        </w:rPr>
        <w:t xml:space="preserve"> </w:t>
      </w:r>
      <w:proofErr w:type="spellStart"/>
      <w:r>
        <w:rPr>
          <w:sz w:val="20"/>
          <w:szCs w:val="20"/>
        </w:rPr>
        <w:t>Sheets</w:t>
      </w:r>
      <w:proofErr w:type="spellEnd"/>
      <w:r>
        <w:rPr>
          <w:sz w:val="20"/>
          <w:szCs w:val="20"/>
        </w:rPr>
        <w:t>) é um recurso de desenvolvimento web que se compõe em um ou mais arquivos, com a extensão .</w:t>
      </w:r>
      <w:proofErr w:type="spellStart"/>
      <w:r>
        <w:rPr>
          <w:i/>
          <w:sz w:val="20"/>
          <w:szCs w:val="20"/>
        </w:rPr>
        <w:t>css</w:t>
      </w:r>
      <w:proofErr w:type="spellEnd"/>
      <w:r>
        <w:rPr>
          <w:sz w:val="20"/>
          <w:szCs w:val="20"/>
        </w:rPr>
        <w:t>. Estes tratam do layout das páginas, como posicionamento de imagens e elementos, atribuição de tamanho e estilo de fontes e cores (DA SILVA e RODRIGUES, 2018).</w:t>
      </w:r>
    </w:p>
    <w:p w14:paraId="20E330AA" w14:textId="77777777" w:rsidR="0045329B" w:rsidRDefault="0045329B">
      <w:pPr>
        <w:pStyle w:val="Normal1"/>
        <w:keepNext/>
        <w:ind w:firstLine="720"/>
        <w:jc w:val="both"/>
        <w:rPr>
          <w:sz w:val="20"/>
          <w:szCs w:val="20"/>
        </w:rPr>
      </w:pPr>
    </w:p>
    <w:p w14:paraId="46CEB031" w14:textId="77777777" w:rsidR="0045329B" w:rsidRDefault="00D92E7F" w:rsidP="00452323">
      <w:pPr>
        <w:pStyle w:val="Ttulo2"/>
      </w:pPr>
      <w:bookmarkStart w:id="11" w:name="_Toc10472161"/>
      <w:r>
        <w:t>BOOTSTRAP</w:t>
      </w:r>
      <w:bookmarkEnd w:id="11"/>
    </w:p>
    <w:p w14:paraId="024A17C1" w14:textId="77777777" w:rsidR="0045329B" w:rsidRDefault="0045329B">
      <w:pPr>
        <w:pStyle w:val="Normal1"/>
        <w:keepNext/>
        <w:ind w:firstLine="720"/>
        <w:jc w:val="both"/>
        <w:rPr>
          <w:sz w:val="20"/>
          <w:szCs w:val="20"/>
        </w:rPr>
      </w:pPr>
    </w:p>
    <w:p w14:paraId="6F7DF352" w14:textId="77777777" w:rsidR="0045329B" w:rsidRDefault="00D92E7F">
      <w:pPr>
        <w:pStyle w:val="Normal1"/>
        <w:keepNext/>
        <w:ind w:firstLine="720"/>
        <w:jc w:val="both"/>
        <w:rPr>
          <w:sz w:val="20"/>
          <w:szCs w:val="20"/>
        </w:rPr>
      </w:pPr>
      <w:r>
        <w:rPr>
          <w:sz w:val="20"/>
          <w:szCs w:val="20"/>
        </w:rPr>
        <w:t xml:space="preserve">O </w:t>
      </w:r>
      <w:proofErr w:type="spellStart"/>
      <w:r>
        <w:rPr>
          <w:i/>
          <w:sz w:val="20"/>
          <w:szCs w:val="20"/>
        </w:rPr>
        <w:t>bootstrap</w:t>
      </w:r>
      <w:proofErr w:type="spellEnd"/>
      <w:r>
        <w:rPr>
          <w:i/>
          <w:sz w:val="20"/>
          <w:szCs w:val="20"/>
        </w:rPr>
        <w:t xml:space="preserve"> </w:t>
      </w:r>
      <w:r>
        <w:rPr>
          <w:sz w:val="20"/>
          <w:szCs w:val="20"/>
        </w:rPr>
        <w:t xml:space="preserve">surgiu quando os desenvolvedores do Twitter, que é uma rede social, precisavam incentivar o uso de uma única estrutura na engenharia do projeto. A responsividade é o quesito-chave do </w:t>
      </w:r>
      <w:proofErr w:type="spellStart"/>
      <w:r>
        <w:rPr>
          <w:sz w:val="20"/>
          <w:szCs w:val="20"/>
        </w:rPr>
        <w:t>bootstrap</w:t>
      </w:r>
      <w:proofErr w:type="spellEnd"/>
      <w:r>
        <w:rPr>
          <w:sz w:val="20"/>
          <w:szCs w:val="20"/>
        </w:rPr>
        <w:t>. Uma aplicação responsiva consegue adaptar seus elementos com a resolução do navegador, sem precisar conter arquivos .</w:t>
      </w:r>
      <w:proofErr w:type="spellStart"/>
      <w:r>
        <w:rPr>
          <w:sz w:val="20"/>
          <w:szCs w:val="20"/>
        </w:rPr>
        <w:t>css</w:t>
      </w:r>
      <w:proofErr w:type="spellEnd"/>
      <w:r>
        <w:rPr>
          <w:sz w:val="20"/>
          <w:szCs w:val="20"/>
        </w:rPr>
        <w:t xml:space="preserve"> para cada disponibilidade de </w:t>
      </w:r>
      <w:proofErr w:type="gramStart"/>
      <w:r>
        <w:rPr>
          <w:sz w:val="20"/>
          <w:szCs w:val="20"/>
        </w:rPr>
        <w:t>tela  (</w:t>
      </w:r>
      <w:proofErr w:type="gramEnd"/>
      <w:r>
        <w:rPr>
          <w:sz w:val="20"/>
          <w:szCs w:val="20"/>
        </w:rPr>
        <w:t>TOMAZINI e LOPES, 2015).</w:t>
      </w:r>
    </w:p>
    <w:p w14:paraId="4DEC7113" w14:textId="77777777" w:rsidR="0045329B" w:rsidRDefault="0045329B">
      <w:pPr>
        <w:pStyle w:val="Normal1"/>
        <w:keepNext/>
        <w:jc w:val="both"/>
        <w:rPr>
          <w:sz w:val="20"/>
          <w:szCs w:val="20"/>
        </w:rPr>
      </w:pPr>
    </w:p>
    <w:p w14:paraId="02BAC00C" w14:textId="77777777" w:rsidR="0045329B" w:rsidRDefault="00D92E7F" w:rsidP="00452323">
      <w:pPr>
        <w:pStyle w:val="Ttulo2"/>
      </w:pPr>
      <w:bookmarkStart w:id="12" w:name="_Toc10472162"/>
      <w:r>
        <w:t>JAVASCRIPT</w:t>
      </w:r>
      <w:bookmarkEnd w:id="12"/>
    </w:p>
    <w:p w14:paraId="51662D2D" w14:textId="77777777" w:rsidR="0045329B" w:rsidRDefault="0045329B">
      <w:pPr>
        <w:pStyle w:val="Normal1"/>
        <w:keepNext/>
        <w:jc w:val="both"/>
        <w:rPr>
          <w:b/>
          <w:sz w:val="20"/>
          <w:szCs w:val="20"/>
        </w:rPr>
      </w:pPr>
    </w:p>
    <w:p w14:paraId="57E0069E" w14:textId="77777777" w:rsidR="0045329B" w:rsidRDefault="00D92E7F">
      <w:pPr>
        <w:pStyle w:val="Normal1"/>
        <w:keepNext/>
        <w:ind w:firstLine="720"/>
        <w:jc w:val="both"/>
        <w:rPr>
          <w:sz w:val="20"/>
          <w:szCs w:val="20"/>
        </w:rPr>
      </w:pPr>
      <w:r>
        <w:rPr>
          <w:sz w:val="20"/>
          <w:szCs w:val="20"/>
        </w:rPr>
        <w:t xml:space="preserve">O </w:t>
      </w:r>
      <w:proofErr w:type="spellStart"/>
      <w:r>
        <w:rPr>
          <w:sz w:val="20"/>
          <w:szCs w:val="20"/>
        </w:rPr>
        <w:t>JavaScript</w:t>
      </w:r>
      <w:proofErr w:type="spellEnd"/>
      <w:r>
        <w:rPr>
          <w:sz w:val="20"/>
          <w:szCs w:val="20"/>
        </w:rPr>
        <w:t xml:space="preserve"> é uma linguagem de interação do usuário com o sistema. Ela é responsável por emitir alertas, disparar requisições de botões e carregar formulários (DA SILVA e RODRIGUES, 2018).</w:t>
      </w:r>
    </w:p>
    <w:p w14:paraId="486AC220" w14:textId="77777777" w:rsidR="0045329B" w:rsidRDefault="00D92E7F">
      <w:pPr>
        <w:pStyle w:val="Normal1"/>
        <w:keepNext/>
        <w:jc w:val="both"/>
        <w:rPr>
          <w:sz w:val="20"/>
          <w:szCs w:val="20"/>
        </w:rPr>
      </w:pPr>
      <w:r>
        <w:rPr>
          <w:sz w:val="20"/>
          <w:szCs w:val="20"/>
        </w:rPr>
        <w:tab/>
      </w:r>
      <w:proofErr w:type="spellStart"/>
      <w:r>
        <w:rPr>
          <w:sz w:val="20"/>
          <w:szCs w:val="20"/>
        </w:rPr>
        <w:t>Loudon</w:t>
      </w:r>
      <w:proofErr w:type="spellEnd"/>
      <w:r>
        <w:rPr>
          <w:sz w:val="20"/>
          <w:szCs w:val="20"/>
        </w:rPr>
        <w:t xml:space="preserve"> (2018) orienta, quanto à utilização do </w:t>
      </w:r>
      <w:proofErr w:type="spellStart"/>
      <w:r>
        <w:rPr>
          <w:sz w:val="20"/>
          <w:szCs w:val="20"/>
        </w:rPr>
        <w:t>JavaScript</w:t>
      </w:r>
      <w:proofErr w:type="spellEnd"/>
      <w:r>
        <w:rPr>
          <w:sz w:val="20"/>
          <w:szCs w:val="20"/>
        </w:rPr>
        <w:t>: que este seja aproveitado como funcionalidade modular e orientada a objetos, que garantem a sustentabilidade e confiabilidade das aplicações web.</w:t>
      </w:r>
    </w:p>
    <w:p w14:paraId="42A62097" w14:textId="77777777" w:rsidR="0045329B" w:rsidRDefault="0045329B">
      <w:pPr>
        <w:pStyle w:val="Normal1"/>
        <w:keepNext/>
        <w:jc w:val="both"/>
        <w:rPr>
          <w:sz w:val="20"/>
          <w:szCs w:val="20"/>
        </w:rPr>
      </w:pPr>
    </w:p>
    <w:p w14:paraId="7A3D07F6" w14:textId="77777777" w:rsidR="0045329B" w:rsidRDefault="00D92E7F" w:rsidP="00452323">
      <w:pPr>
        <w:pStyle w:val="Ttulo2"/>
      </w:pPr>
      <w:bookmarkStart w:id="13" w:name="_Toc10472163"/>
      <w:r>
        <w:t>JQUERY</w:t>
      </w:r>
      <w:bookmarkEnd w:id="13"/>
    </w:p>
    <w:p w14:paraId="126750AC" w14:textId="77777777" w:rsidR="0045329B" w:rsidRDefault="00D92E7F">
      <w:pPr>
        <w:pStyle w:val="Normal1"/>
        <w:keepNext/>
        <w:jc w:val="both"/>
        <w:rPr>
          <w:b/>
          <w:sz w:val="20"/>
          <w:szCs w:val="20"/>
        </w:rPr>
      </w:pPr>
      <w:r>
        <w:rPr>
          <w:b/>
          <w:sz w:val="20"/>
          <w:szCs w:val="20"/>
        </w:rPr>
        <w:tab/>
      </w:r>
    </w:p>
    <w:p w14:paraId="208E83F8" w14:textId="77777777" w:rsidR="0045329B" w:rsidRDefault="00D92E7F">
      <w:pPr>
        <w:pStyle w:val="Normal1"/>
        <w:keepNext/>
        <w:ind w:firstLine="720"/>
        <w:jc w:val="both"/>
        <w:rPr>
          <w:sz w:val="20"/>
          <w:szCs w:val="20"/>
        </w:rPr>
      </w:pPr>
      <w:r>
        <w:rPr>
          <w:sz w:val="20"/>
          <w:szCs w:val="20"/>
        </w:rPr>
        <w:t>Para o desenvolvimento de aplicações web, além da utilização dos componentes e linguagens anteriormente citados (</w:t>
      </w:r>
      <w:proofErr w:type="spellStart"/>
      <w:r>
        <w:rPr>
          <w:sz w:val="20"/>
          <w:szCs w:val="20"/>
        </w:rPr>
        <w:t>html</w:t>
      </w:r>
      <w:proofErr w:type="spellEnd"/>
      <w:r>
        <w:rPr>
          <w:sz w:val="20"/>
          <w:szCs w:val="20"/>
        </w:rPr>
        <w:t xml:space="preserve">, </w:t>
      </w:r>
      <w:proofErr w:type="spellStart"/>
      <w:r>
        <w:rPr>
          <w:sz w:val="20"/>
          <w:szCs w:val="20"/>
        </w:rPr>
        <w:t>css</w:t>
      </w:r>
      <w:proofErr w:type="spellEnd"/>
      <w:r>
        <w:rPr>
          <w:sz w:val="20"/>
          <w:szCs w:val="20"/>
        </w:rPr>
        <w:t xml:space="preserve">, </w:t>
      </w:r>
      <w:proofErr w:type="spellStart"/>
      <w:r>
        <w:rPr>
          <w:sz w:val="20"/>
          <w:szCs w:val="20"/>
        </w:rPr>
        <w:t>bootstrap</w:t>
      </w:r>
      <w:proofErr w:type="spellEnd"/>
      <w:r>
        <w:rPr>
          <w:sz w:val="20"/>
          <w:szCs w:val="20"/>
        </w:rPr>
        <w:t xml:space="preserve">, </w:t>
      </w:r>
      <w:proofErr w:type="spellStart"/>
      <w:r>
        <w:rPr>
          <w:sz w:val="20"/>
          <w:szCs w:val="20"/>
        </w:rPr>
        <w:t>javascript</w:t>
      </w:r>
      <w:proofErr w:type="spellEnd"/>
      <w:r>
        <w:rPr>
          <w:sz w:val="20"/>
          <w:szCs w:val="20"/>
        </w:rPr>
        <w:t>), outras tecnologias auxiliam nos requisitos de qualidade de software, como a usabilidade e interfaces intuitivas.</w:t>
      </w:r>
    </w:p>
    <w:p w14:paraId="16697E63" w14:textId="77777777" w:rsidR="0045329B" w:rsidRDefault="00D92E7F">
      <w:pPr>
        <w:pStyle w:val="Normal1"/>
        <w:keepNext/>
        <w:ind w:firstLine="720"/>
        <w:jc w:val="both"/>
        <w:rPr>
          <w:sz w:val="20"/>
          <w:szCs w:val="20"/>
        </w:rPr>
      </w:pPr>
      <w:r>
        <w:rPr>
          <w:sz w:val="20"/>
          <w:szCs w:val="20"/>
        </w:rPr>
        <w:t>Tais recursos são denominados AJAX (</w:t>
      </w:r>
      <w:proofErr w:type="spellStart"/>
      <w:r>
        <w:rPr>
          <w:sz w:val="20"/>
          <w:szCs w:val="20"/>
        </w:rPr>
        <w:t>Asynchronous</w:t>
      </w:r>
      <w:proofErr w:type="spellEnd"/>
      <w:r>
        <w:rPr>
          <w:sz w:val="20"/>
          <w:szCs w:val="20"/>
        </w:rPr>
        <w:t xml:space="preserve"> </w:t>
      </w:r>
      <w:proofErr w:type="spellStart"/>
      <w:r>
        <w:rPr>
          <w:sz w:val="20"/>
          <w:szCs w:val="20"/>
        </w:rPr>
        <w:t>Javascript</w:t>
      </w:r>
      <w:proofErr w:type="spellEnd"/>
      <w:r>
        <w:rPr>
          <w:sz w:val="20"/>
          <w:szCs w:val="20"/>
        </w:rPr>
        <w:t xml:space="preserve"> </w:t>
      </w:r>
      <w:proofErr w:type="spellStart"/>
      <w:r>
        <w:rPr>
          <w:sz w:val="20"/>
          <w:szCs w:val="20"/>
        </w:rPr>
        <w:t>and</w:t>
      </w:r>
      <w:proofErr w:type="spellEnd"/>
      <w:r>
        <w:rPr>
          <w:sz w:val="20"/>
          <w:szCs w:val="20"/>
        </w:rPr>
        <w:t xml:space="preserve"> XML).  Para criar alertas, botões mais interativos, com o AJAX pode ser utilizado o framework </w:t>
      </w:r>
      <w:proofErr w:type="spellStart"/>
      <w:r>
        <w:rPr>
          <w:sz w:val="20"/>
          <w:szCs w:val="20"/>
        </w:rPr>
        <w:t>jQuery</w:t>
      </w:r>
      <w:proofErr w:type="spellEnd"/>
      <w:r>
        <w:rPr>
          <w:sz w:val="20"/>
          <w:szCs w:val="20"/>
        </w:rPr>
        <w:t xml:space="preserve">, que contém parâmetros pré-definidos associados com </w:t>
      </w:r>
      <w:proofErr w:type="spellStart"/>
      <w:r>
        <w:rPr>
          <w:sz w:val="20"/>
          <w:szCs w:val="20"/>
        </w:rPr>
        <w:t>javascript</w:t>
      </w:r>
      <w:proofErr w:type="spellEnd"/>
      <w:r>
        <w:rPr>
          <w:sz w:val="20"/>
          <w:szCs w:val="20"/>
        </w:rPr>
        <w:t xml:space="preserve"> (FIGUEIRA, 2018).</w:t>
      </w:r>
    </w:p>
    <w:p w14:paraId="682265C4" w14:textId="77777777" w:rsidR="0045329B" w:rsidRDefault="0045329B">
      <w:pPr>
        <w:pStyle w:val="Normal1"/>
        <w:keepNext/>
        <w:ind w:firstLine="720"/>
        <w:jc w:val="both"/>
        <w:rPr>
          <w:sz w:val="20"/>
          <w:szCs w:val="20"/>
        </w:rPr>
      </w:pPr>
    </w:p>
    <w:p w14:paraId="0AA70D30" w14:textId="77777777" w:rsidR="0045329B" w:rsidRDefault="00D92E7F" w:rsidP="00452323">
      <w:pPr>
        <w:pStyle w:val="Ttulo2"/>
      </w:pPr>
      <w:bookmarkStart w:id="14" w:name="_Toc10472164"/>
      <w:r>
        <w:t>UML</w:t>
      </w:r>
      <w:bookmarkEnd w:id="14"/>
    </w:p>
    <w:p w14:paraId="45B19D04" w14:textId="77777777" w:rsidR="0045329B" w:rsidRDefault="00D92E7F">
      <w:pPr>
        <w:pStyle w:val="Normal1"/>
        <w:keepNext/>
        <w:rPr>
          <w:sz w:val="20"/>
          <w:szCs w:val="20"/>
        </w:rPr>
      </w:pPr>
      <w:r>
        <w:rPr>
          <w:sz w:val="20"/>
          <w:szCs w:val="20"/>
        </w:rPr>
        <w:tab/>
      </w:r>
    </w:p>
    <w:p w14:paraId="49E16D3B" w14:textId="77777777" w:rsidR="0045329B" w:rsidRDefault="00D92E7F">
      <w:pPr>
        <w:pStyle w:val="Normal1"/>
        <w:keepNext/>
        <w:jc w:val="both"/>
        <w:rPr>
          <w:sz w:val="20"/>
          <w:szCs w:val="20"/>
        </w:rPr>
      </w:pPr>
      <w:r>
        <w:rPr>
          <w:sz w:val="20"/>
          <w:szCs w:val="20"/>
        </w:rPr>
        <w:tab/>
        <w:t xml:space="preserve">A UML </w:t>
      </w:r>
      <w:proofErr w:type="gramStart"/>
      <w:r>
        <w:rPr>
          <w:sz w:val="20"/>
          <w:szCs w:val="20"/>
        </w:rPr>
        <w:t>(</w:t>
      </w:r>
      <w:r>
        <w:rPr>
          <w:i/>
          <w:sz w:val="20"/>
          <w:szCs w:val="20"/>
        </w:rPr>
        <w:t xml:space="preserve"> </w:t>
      </w:r>
      <w:proofErr w:type="spellStart"/>
      <w:r>
        <w:rPr>
          <w:i/>
          <w:sz w:val="20"/>
          <w:szCs w:val="20"/>
        </w:rPr>
        <w:t>Unified</w:t>
      </w:r>
      <w:proofErr w:type="spellEnd"/>
      <w:proofErr w:type="gramEnd"/>
      <w:r>
        <w:rPr>
          <w:i/>
          <w:sz w:val="20"/>
          <w:szCs w:val="20"/>
        </w:rPr>
        <w:t xml:space="preserve"> </w:t>
      </w:r>
      <w:proofErr w:type="spellStart"/>
      <w:r>
        <w:rPr>
          <w:i/>
          <w:sz w:val="20"/>
          <w:szCs w:val="20"/>
        </w:rPr>
        <w:t>Modeling</w:t>
      </w:r>
      <w:proofErr w:type="spellEnd"/>
      <w:r>
        <w:rPr>
          <w:i/>
          <w:sz w:val="20"/>
          <w:szCs w:val="20"/>
        </w:rPr>
        <w:t xml:space="preserve"> </w:t>
      </w:r>
      <w:proofErr w:type="spellStart"/>
      <w:r>
        <w:rPr>
          <w:i/>
          <w:sz w:val="20"/>
          <w:szCs w:val="20"/>
        </w:rPr>
        <w:t>Language</w:t>
      </w:r>
      <w:proofErr w:type="spellEnd"/>
      <w:r>
        <w:rPr>
          <w:sz w:val="20"/>
          <w:szCs w:val="20"/>
        </w:rPr>
        <w:t>)</w:t>
      </w:r>
      <w:r>
        <w:rPr>
          <w:i/>
          <w:sz w:val="20"/>
          <w:szCs w:val="20"/>
        </w:rPr>
        <w:t xml:space="preserve"> </w:t>
      </w:r>
      <w:r>
        <w:rPr>
          <w:sz w:val="20"/>
          <w:szCs w:val="20"/>
        </w:rPr>
        <w:t xml:space="preserve">é uma unificação de várias linguagens de modelagem que permitem a documentação e construção de projetos de </w:t>
      </w:r>
      <w:r>
        <w:rPr>
          <w:sz w:val="20"/>
          <w:szCs w:val="20"/>
        </w:rPr>
        <w:lastRenderedPageBreak/>
        <w:t xml:space="preserve">software, bem como a especificação de requisitos  (TANAKA </w:t>
      </w:r>
      <w:r>
        <w:rPr>
          <w:i/>
          <w:sz w:val="20"/>
          <w:szCs w:val="20"/>
        </w:rPr>
        <w:t>et al</w:t>
      </w:r>
      <w:r>
        <w:rPr>
          <w:sz w:val="20"/>
          <w:szCs w:val="20"/>
        </w:rPr>
        <w:t xml:space="preserve">, 2018). </w:t>
      </w:r>
    </w:p>
    <w:p w14:paraId="682854E9" w14:textId="77777777" w:rsidR="0045329B" w:rsidRDefault="00D92E7F">
      <w:pPr>
        <w:pStyle w:val="Normal1"/>
        <w:spacing w:line="276" w:lineRule="auto"/>
        <w:ind w:firstLine="720"/>
        <w:jc w:val="both"/>
        <w:rPr>
          <w:sz w:val="20"/>
          <w:szCs w:val="20"/>
        </w:rPr>
      </w:pPr>
      <w:r>
        <w:rPr>
          <w:sz w:val="20"/>
          <w:szCs w:val="20"/>
        </w:rPr>
        <w:t>Ferramentas informatizadas que dão suporte para modelagem dos diagramas derivam do conceito das ferramentas CASE (</w:t>
      </w:r>
      <w:r>
        <w:rPr>
          <w:i/>
          <w:sz w:val="20"/>
          <w:szCs w:val="20"/>
        </w:rPr>
        <w:t>Computer-</w:t>
      </w:r>
      <w:proofErr w:type="spellStart"/>
      <w:r>
        <w:rPr>
          <w:i/>
          <w:sz w:val="20"/>
          <w:szCs w:val="20"/>
        </w:rPr>
        <w:t>Aided</w:t>
      </w:r>
      <w:proofErr w:type="spellEnd"/>
      <w:r>
        <w:rPr>
          <w:i/>
          <w:sz w:val="20"/>
          <w:szCs w:val="20"/>
        </w:rPr>
        <w:t xml:space="preserve"> Software </w:t>
      </w:r>
      <w:proofErr w:type="spellStart"/>
      <w:r>
        <w:rPr>
          <w:i/>
          <w:sz w:val="20"/>
          <w:szCs w:val="20"/>
        </w:rPr>
        <w:t>Engineering</w:t>
      </w:r>
      <w:proofErr w:type="spellEnd"/>
      <w:r>
        <w:rPr>
          <w:sz w:val="20"/>
          <w:szCs w:val="20"/>
        </w:rPr>
        <w:t xml:space="preserve">). Este termo foi utilizado para designar a geração de código a partir de modelos (PENDER </w:t>
      </w:r>
      <w:r>
        <w:rPr>
          <w:i/>
          <w:sz w:val="20"/>
          <w:szCs w:val="20"/>
        </w:rPr>
        <w:t xml:space="preserve">apud </w:t>
      </w:r>
      <w:r>
        <w:rPr>
          <w:sz w:val="20"/>
          <w:szCs w:val="20"/>
        </w:rPr>
        <w:t xml:space="preserve">TANAKA </w:t>
      </w:r>
      <w:r>
        <w:rPr>
          <w:i/>
          <w:sz w:val="20"/>
          <w:szCs w:val="20"/>
        </w:rPr>
        <w:t xml:space="preserve">et al, </w:t>
      </w:r>
      <w:r>
        <w:rPr>
          <w:sz w:val="20"/>
          <w:szCs w:val="20"/>
        </w:rPr>
        <w:t>2018). Podem ser elaborados diagramas de caso de uso, de atividade e implementação, que permitem uma boa visualização do projeto do software, bem como outros diagramas, como o diagrama de sequência, diagrama de máquina de estado.</w:t>
      </w:r>
    </w:p>
    <w:p w14:paraId="6E4E5EBC" w14:textId="77777777" w:rsidR="0045329B" w:rsidRDefault="0045329B">
      <w:pPr>
        <w:pStyle w:val="Normal1"/>
        <w:keepNext/>
        <w:rPr>
          <w:b/>
          <w:sz w:val="20"/>
          <w:szCs w:val="20"/>
        </w:rPr>
      </w:pPr>
    </w:p>
    <w:p w14:paraId="4F95484F" w14:textId="77777777" w:rsidR="0045329B" w:rsidRDefault="00D92E7F" w:rsidP="00452323">
      <w:pPr>
        <w:pStyle w:val="Ttulo2"/>
      </w:pPr>
      <w:bookmarkStart w:id="15" w:name="_Toc10472165"/>
      <w:r>
        <w:t>SQL SERVER DATA TOOLS</w:t>
      </w:r>
      <w:bookmarkEnd w:id="15"/>
    </w:p>
    <w:p w14:paraId="2D03DBD6" w14:textId="77777777" w:rsidR="0045329B" w:rsidRDefault="0045329B">
      <w:pPr>
        <w:pStyle w:val="Normal1"/>
        <w:keepNext/>
        <w:rPr>
          <w:b/>
          <w:sz w:val="20"/>
          <w:szCs w:val="20"/>
        </w:rPr>
      </w:pPr>
    </w:p>
    <w:p w14:paraId="0815721E" w14:textId="77777777" w:rsidR="0045329B" w:rsidRDefault="00D92E7F">
      <w:pPr>
        <w:pStyle w:val="Normal1"/>
        <w:jc w:val="both"/>
        <w:rPr>
          <w:sz w:val="20"/>
          <w:szCs w:val="20"/>
        </w:rPr>
      </w:pPr>
      <w:r>
        <w:rPr>
          <w:b/>
          <w:sz w:val="20"/>
          <w:szCs w:val="20"/>
        </w:rPr>
        <w:tab/>
      </w:r>
      <w:r>
        <w:rPr>
          <w:sz w:val="20"/>
          <w:szCs w:val="20"/>
        </w:rPr>
        <w:t>O SQL Server Data Tools é uma ferramenta integrada à interface de desenvolvimento Visual Studio, para executar todas as operações de maneira rápida e de fácil acesso ao desenvolvedor (MICROSOFT, 2017). Nele, estão salvos os bancos de dados de usuário e os resultados de cada questionário.</w:t>
      </w:r>
    </w:p>
    <w:p w14:paraId="39C7A66A" w14:textId="77777777" w:rsidR="0045329B" w:rsidRPr="007067E2" w:rsidRDefault="00D92E7F" w:rsidP="005C780A">
      <w:pPr>
        <w:pStyle w:val="Ttulo1"/>
      </w:pPr>
      <w:bookmarkStart w:id="16" w:name="_Toc10472166"/>
      <w:r w:rsidRPr="007067E2">
        <w:t>MÉTODOS</w:t>
      </w:r>
      <w:bookmarkEnd w:id="16"/>
    </w:p>
    <w:p w14:paraId="3B480F38" w14:textId="77777777" w:rsidR="0045329B" w:rsidRDefault="0045329B">
      <w:pPr>
        <w:pStyle w:val="Normal1"/>
        <w:rPr>
          <w:sz w:val="20"/>
          <w:szCs w:val="20"/>
        </w:rPr>
      </w:pPr>
    </w:p>
    <w:p w14:paraId="567CA199" w14:textId="77777777" w:rsidR="0045329B" w:rsidRDefault="00D92E7F" w:rsidP="00452323">
      <w:pPr>
        <w:pStyle w:val="Ttulo2"/>
      </w:pPr>
      <w:bookmarkStart w:id="17" w:name="_Toc10472167"/>
      <w:r>
        <w:t>PLATAFORMA DE DESENVOLVIMENTO</w:t>
      </w:r>
      <w:bookmarkEnd w:id="17"/>
      <w:r>
        <w:t xml:space="preserve"> </w:t>
      </w:r>
    </w:p>
    <w:p w14:paraId="065044A6" w14:textId="77777777" w:rsidR="0045329B" w:rsidRDefault="0045329B">
      <w:pPr>
        <w:pStyle w:val="Normal1"/>
        <w:rPr>
          <w:sz w:val="20"/>
          <w:szCs w:val="20"/>
        </w:rPr>
      </w:pPr>
    </w:p>
    <w:p w14:paraId="50665484" w14:textId="77777777" w:rsidR="0045329B" w:rsidRDefault="00D92E7F">
      <w:pPr>
        <w:pStyle w:val="Normal1"/>
        <w:jc w:val="both"/>
        <w:rPr>
          <w:sz w:val="20"/>
          <w:szCs w:val="20"/>
        </w:rPr>
      </w:pPr>
      <w:r>
        <w:rPr>
          <w:sz w:val="20"/>
          <w:szCs w:val="20"/>
        </w:rPr>
        <w:tab/>
        <w:t xml:space="preserve">O nível de maturidade de uma empresa de tecnologia de informação pode ser quantificado via software. Para tanto, é necessário que a empresa reconheça com agilidade os serviços que provém e aqueles que são utilizados pelos usuários. Para as empresas que pretendem implementar as boas práticas contidas no ITIL, já tem informações iniciais para que sejam elaborados o portfólio e o catálogo de serviços, contendo os ajustes necessários para atingir um nível satisfatório de maturidade, que são os níveis gerenciado e otimizado. </w:t>
      </w:r>
    </w:p>
    <w:p w14:paraId="00C53F59" w14:textId="77777777" w:rsidR="0045329B" w:rsidRDefault="00D92E7F">
      <w:pPr>
        <w:pStyle w:val="Normal1"/>
        <w:jc w:val="both"/>
        <w:rPr>
          <w:sz w:val="20"/>
          <w:szCs w:val="20"/>
        </w:rPr>
      </w:pPr>
      <w:r>
        <w:rPr>
          <w:sz w:val="20"/>
          <w:szCs w:val="20"/>
        </w:rPr>
        <w:tab/>
        <w:t>O presente trabalho foi desenvolvido na plataforma .NET,  com linguagem C#, e que consiste em uma aplicação web que o usuário tem acesso a um questionário com 25 (vinte e cinco) questões por fase, que definirão qual nível de maturidade a empresa encontra e quais as implementações do ITIL são recomendadas para o modelo de negócio, correções e continuidade de serviços.</w:t>
      </w:r>
    </w:p>
    <w:p w14:paraId="2A1BE252" w14:textId="77777777" w:rsidR="0045329B" w:rsidRDefault="0045329B">
      <w:pPr>
        <w:pStyle w:val="Normal1"/>
        <w:jc w:val="both"/>
        <w:rPr>
          <w:sz w:val="20"/>
          <w:szCs w:val="20"/>
        </w:rPr>
      </w:pPr>
    </w:p>
    <w:p w14:paraId="0AC624FB" w14:textId="77777777" w:rsidR="0045329B" w:rsidRDefault="00D92E7F" w:rsidP="00452323">
      <w:pPr>
        <w:pStyle w:val="Ttulo2"/>
      </w:pPr>
      <w:bookmarkStart w:id="18" w:name="_Toc10472168"/>
      <w:r>
        <w:t>AVALIAÇÃO DA MATURIDADE</w:t>
      </w:r>
      <w:bookmarkEnd w:id="18"/>
    </w:p>
    <w:p w14:paraId="6E857135" w14:textId="77777777" w:rsidR="0045329B" w:rsidRDefault="00D92E7F">
      <w:pPr>
        <w:pStyle w:val="Normal1"/>
        <w:jc w:val="both"/>
        <w:rPr>
          <w:b/>
          <w:sz w:val="20"/>
          <w:szCs w:val="20"/>
        </w:rPr>
      </w:pPr>
      <w:r>
        <w:rPr>
          <w:b/>
          <w:sz w:val="20"/>
          <w:szCs w:val="20"/>
        </w:rPr>
        <w:tab/>
      </w:r>
    </w:p>
    <w:p w14:paraId="1054F368" w14:textId="77777777" w:rsidR="0045329B" w:rsidRDefault="00D92E7F">
      <w:pPr>
        <w:pStyle w:val="Normal1"/>
        <w:spacing w:line="276" w:lineRule="auto"/>
        <w:ind w:firstLine="720"/>
        <w:jc w:val="both"/>
        <w:rPr>
          <w:sz w:val="20"/>
          <w:szCs w:val="20"/>
        </w:rPr>
      </w:pPr>
      <w:r>
        <w:rPr>
          <w:sz w:val="20"/>
          <w:szCs w:val="20"/>
        </w:rPr>
        <w:t xml:space="preserve">Os critérios de avaliação da maturidade dos processos ITIL seguem os padrões estabelecidos por Silva (2012). O presente trabalho utilizou-se dos padrões aplicados pelo autor mencionado e informatizou os cálculos e o resultado da avaliação. </w:t>
      </w:r>
    </w:p>
    <w:p w14:paraId="260AA34A" w14:textId="77777777" w:rsidR="0045329B" w:rsidRDefault="00D92E7F">
      <w:pPr>
        <w:pStyle w:val="Normal1"/>
        <w:spacing w:line="276" w:lineRule="auto"/>
        <w:ind w:firstLine="720"/>
        <w:jc w:val="both"/>
        <w:rPr>
          <w:sz w:val="20"/>
          <w:szCs w:val="20"/>
        </w:rPr>
      </w:pPr>
      <w:r>
        <w:rPr>
          <w:sz w:val="20"/>
          <w:szCs w:val="20"/>
        </w:rPr>
        <w:t>Cada uma das 25 (vinte e cinco) questões de cada gerenciamento possuem 4 (quatro) alternativas, e cada uma delas tem um valor atribuído: alternativa 1, valor 0; alternativa 2, valor 1; alternativa 3, valor 3; alternativa 4, valor 5.</w:t>
      </w:r>
    </w:p>
    <w:p w14:paraId="012724CE" w14:textId="77777777" w:rsidR="0045329B" w:rsidRDefault="00D92E7F">
      <w:pPr>
        <w:pStyle w:val="Normal1"/>
        <w:spacing w:line="276" w:lineRule="auto"/>
        <w:ind w:firstLine="720"/>
        <w:jc w:val="both"/>
        <w:rPr>
          <w:sz w:val="20"/>
          <w:szCs w:val="20"/>
        </w:rPr>
      </w:pPr>
      <w:r>
        <w:rPr>
          <w:sz w:val="20"/>
          <w:szCs w:val="20"/>
        </w:rPr>
        <w:t xml:space="preserve">A média aritmética é calculada para a maturidade por dimensão. Cada uma das 25 (vinte e cinco) questões estão relacionadas a uma dimensão do PMF (Modelo de Maturidade de Processos ITIL), a saber: </w:t>
      </w:r>
    </w:p>
    <w:p w14:paraId="55BB9AEC" w14:textId="77777777" w:rsidR="0045329B" w:rsidRDefault="00D92E7F">
      <w:pPr>
        <w:pStyle w:val="Normal1"/>
        <w:numPr>
          <w:ilvl w:val="0"/>
          <w:numId w:val="1"/>
        </w:numPr>
        <w:spacing w:line="276" w:lineRule="auto"/>
        <w:jc w:val="both"/>
        <w:rPr>
          <w:sz w:val="20"/>
          <w:szCs w:val="20"/>
        </w:rPr>
      </w:pPr>
      <w:r>
        <w:rPr>
          <w:sz w:val="20"/>
          <w:szCs w:val="20"/>
        </w:rPr>
        <w:t>Questões 1 a 5: visão/orientação;</w:t>
      </w:r>
    </w:p>
    <w:p w14:paraId="19333065" w14:textId="77777777" w:rsidR="0045329B" w:rsidRDefault="00D92E7F">
      <w:pPr>
        <w:pStyle w:val="Normal1"/>
        <w:numPr>
          <w:ilvl w:val="0"/>
          <w:numId w:val="1"/>
        </w:numPr>
        <w:spacing w:line="276" w:lineRule="auto"/>
        <w:jc w:val="both"/>
        <w:rPr>
          <w:sz w:val="20"/>
          <w:szCs w:val="20"/>
        </w:rPr>
      </w:pPr>
      <w:r>
        <w:rPr>
          <w:sz w:val="20"/>
          <w:szCs w:val="20"/>
        </w:rPr>
        <w:t>Questões 6 a 10: processos;</w:t>
      </w:r>
    </w:p>
    <w:p w14:paraId="5BD45DC5" w14:textId="77777777" w:rsidR="0045329B" w:rsidRDefault="00D92E7F">
      <w:pPr>
        <w:pStyle w:val="Normal1"/>
        <w:numPr>
          <w:ilvl w:val="0"/>
          <w:numId w:val="1"/>
        </w:numPr>
        <w:spacing w:line="276" w:lineRule="auto"/>
        <w:jc w:val="both"/>
        <w:rPr>
          <w:sz w:val="20"/>
          <w:szCs w:val="20"/>
        </w:rPr>
      </w:pPr>
      <w:r>
        <w:rPr>
          <w:sz w:val="20"/>
          <w:szCs w:val="20"/>
        </w:rPr>
        <w:t>Questões 11 a 15: pessoas;</w:t>
      </w:r>
    </w:p>
    <w:p w14:paraId="7D1E288D" w14:textId="77777777" w:rsidR="0045329B" w:rsidRDefault="00D92E7F">
      <w:pPr>
        <w:pStyle w:val="Normal1"/>
        <w:numPr>
          <w:ilvl w:val="0"/>
          <w:numId w:val="1"/>
        </w:numPr>
        <w:spacing w:line="276" w:lineRule="auto"/>
        <w:jc w:val="both"/>
        <w:rPr>
          <w:sz w:val="20"/>
          <w:szCs w:val="20"/>
        </w:rPr>
      </w:pPr>
      <w:r>
        <w:rPr>
          <w:sz w:val="20"/>
          <w:szCs w:val="20"/>
        </w:rPr>
        <w:t>Questões 16 a 20: tecnologia;</w:t>
      </w:r>
    </w:p>
    <w:p w14:paraId="0906AF33" w14:textId="77777777" w:rsidR="0045329B" w:rsidRDefault="00D92E7F">
      <w:pPr>
        <w:pStyle w:val="Normal1"/>
        <w:numPr>
          <w:ilvl w:val="0"/>
          <w:numId w:val="1"/>
        </w:numPr>
        <w:spacing w:line="276" w:lineRule="auto"/>
        <w:jc w:val="both"/>
        <w:rPr>
          <w:sz w:val="20"/>
          <w:szCs w:val="20"/>
        </w:rPr>
      </w:pPr>
      <w:r>
        <w:rPr>
          <w:sz w:val="20"/>
          <w:szCs w:val="20"/>
        </w:rPr>
        <w:t>Questões 21 a 25: cultura.</w:t>
      </w:r>
    </w:p>
    <w:p w14:paraId="607BE24F" w14:textId="77777777" w:rsidR="0045329B" w:rsidRDefault="00D92E7F">
      <w:pPr>
        <w:pStyle w:val="Normal1"/>
        <w:spacing w:line="276" w:lineRule="auto"/>
        <w:ind w:firstLine="720"/>
        <w:jc w:val="both"/>
        <w:rPr>
          <w:sz w:val="20"/>
          <w:szCs w:val="20"/>
        </w:rPr>
      </w:pPr>
      <w:r>
        <w:rPr>
          <w:sz w:val="20"/>
          <w:szCs w:val="20"/>
        </w:rPr>
        <w:t xml:space="preserve">A expressão matemática utilizada para o cálculo de cada uma das 5 dimensões é a seguinte: </w:t>
      </w:r>
    </w:p>
    <w:p w14:paraId="0BA5E60A" w14:textId="77777777" w:rsidR="0045329B" w:rsidRDefault="00D92E7F">
      <w:pPr>
        <w:pStyle w:val="Normal1"/>
        <w:spacing w:line="276" w:lineRule="auto"/>
        <w:jc w:val="both"/>
        <w:rPr>
          <w:sz w:val="20"/>
          <w:szCs w:val="20"/>
        </w:rPr>
      </w:pPr>
      <w:r>
        <w:rPr>
          <w:noProof/>
          <w:sz w:val="20"/>
          <w:szCs w:val="20"/>
        </w:rPr>
        <w:drawing>
          <wp:inline distT="114300" distB="114300" distL="114300" distR="114300" wp14:anchorId="19D577A3" wp14:editId="228CC6D7">
            <wp:extent cx="3457575" cy="809625"/>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cstate="print"/>
                    <a:srcRect/>
                    <a:stretch>
                      <a:fillRect/>
                    </a:stretch>
                  </pic:blipFill>
                  <pic:spPr>
                    <a:xfrm>
                      <a:off x="0" y="0"/>
                      <a:ext cx="3457575" cy="809625"/>
                    </a:xfrm>
                    <a:prstGeom prst="rect">
                      <a:avLst/>
                    </a:prstGeom>
                    <a:ln/>
                  </pic:spPr>
                </pic:pic>
              </a:graphicData>
            </a:graphic>
          </wp:inline>
        </w:drawing>
      </w:r>
    </w:p>
    <w:p w14:paraId="7676D257" w14:textId="77777777" w:rsidR="0045329B" w:rsidRDefault="00D92E7F">
      <w:pPr>
        <w:pStyle w:val="Normal1"/>
        <w:spacing w:line="276" w:lineRule="auto"/>
        <w:ind w:firstLine="720"/>
        <w:jc w:val="both"/>
        <w:rPr>
          <w:sz w:val="20"/>
          <w:szCs w:val="20"/>
        </w:rPr>
      </w:pPr>
      <w:r>
        <w:rPr>
          <w:sz w:val="20"/>
          <w:szCs w:val="20"/>
        </w:rPr>
        <w:t xml:space="preserve">O cálculo da maturidade do processo aplica, sobre os resultados da média aritmética, os pesos para cada dimensão, a saber: </w:t>
      </w:r>
    </w:p>
    <w:p w14:paraId="47704319" w14:textId="77777777" w:rsidR="0045329B" w:rsidRDefault="00D92E7F">
      <w:pPr>
        <w:pStyle w:val="Normal1"/>
        <w:numPr>
          <w:ilvl w:val="0"/>
          <w:numId w:val="2"/>
        </w:numPr>
        <w:spacing w:line="276" w:lineRule="auto"/>
        <w:jc w:val="both"/>
        <w:rPr>
          <w:sz w:val="20"/>
          <w:szCs w:val="20"/>
        </w:rPr>
      </w:pPr>
      <w:r>
        <w:rPr>
          <w:sz w:val="20"/>
          <w:szCs w:val="20"/>
        </w:rPr>
        <w:t>Visão/orientação: peso 2;</w:t>
      </w:r>
    </w:p>
    <w:p w14:paraId="38CAFAB6" w14:textId="77777777" w:rsidR="0045329B" w:rsidRDefault="00D92E7F">
      <w:pPr>
        <w:pStyle w:val="Normal1"/>
        <w:numPr>
          <w:ilvl w:val="0"/>
          <w:numId w:val="2"/>
        </w:numPr>
        <w:spacing w:line="276" w:lineRule="auto"/>
        <w:jc w:val="both"/>
        <w:rPr>
          <w:sz w:val="20"/>
          <w:szCs w:val="20"/>
        </w:rPr>
      </w:pPr>
      <w:r>
        <w:rPr>
          <w:sz w:val="20"/>
          <w:szCs w:val="20"/>
        </w:rPr>
        <w:t>Processos: peso 3;</w:t>
      </w:r>
    </w:p>
    <w:p w14:paraId="5E00EFC8" w14:textId="77777777" w:rsidR="0045329B" w:rsidRDefault="00D92E7F">
      <w:pPr>
        <w:pStyle w:val="Normal1"/>
        <w:numPr>
          <w:ilvl w:val="0"/>
          <w:numId w:val="2"/>
        </w:numPr>
        <w:spacing w:line="276" w:lineRule="auto"/>
        <w:jc w:val="both"/>
        <w:rPr>
          <w:sz w:val="20"/>
          <w:szCs w:val="20"/>
        </w:rPr>
      </w:pPr>
      <w:r>
        <w:rPr>
          <w:sz w:val="20"/>
          <w:szCs w:val="20"/>
        </w:rPr>
        <w:t>Pessoas: peso 2;</w:t>
      </w:r>
    </w:p>
    <w:p w14:paraId="64FBB96D" w14:textId="77777777" w:rsidR="0045329B" w:rsidRDefault="00D92E7F">
      <w:pPr>
        <w:pStyle w:val="Normal1"/>
        <w:numPr>
          <w:ilvl w:val="0"/>
          <w:numId w:val="2"/>
        </w:numPr>
        <w:spacing w:line="276" w:lineRule="auto"/>
        <w:jc w:val="both"/>
        <w:rPr>
          <w:sz w:val="20"/>
          <w:szCs w:val="20"/>
        </w:rPr>
      </w:pPr>
      <w:r>
        <w:rPr>
          <w:sz w:val="20"/>
          <w:szCs w:val="20"/>
        </w:rPr>
        <w:t>Tecnologia: 2;</w:t>
      </w:r>
    </w:p>
    <w:p w14:paraId="28056869" w14:textId="77777777" w:rsidR="0045329B" w:rsidRDefault="00D92E7F">
      <w:pPr>
        <w:pStyle w:val="Normal1"/>
        <w:numPr>
          <w:ilvl w:val="0"/>
          <w:numId w:val="2"/>
        </w:numPr>
        <w:spacing w:line="276" w:lineRule="auto"/>
        <w:jc w:val="both"/>
        <w:rPr>
          <w:sz w:val="20"/>
          <w:szCs w:val="20"/>
        </w:rPr>
      </w:pPr>
      <w:r>
        <w:rPr>
          <w:sz w:val="20"/>
          <w:szCs w:val="20"/>
        </w:rPr>
        <w:t>Cultura: peso 1.</w:t>
      </w:r>
    </w:p>
    <w:p w14:paraId="72834781" w14:textId="77777777" w:rsidR="0045329B" w:rsidRDefault="00D92E7F">
      <w:pPr>
        <w:pStyle w:val="Normal1"/>
        <w:spacing w:line="276" w:lineRule="auto"/>
        <w:ind w:firstLine="720"/>
        <w:jc w:val="both"/>
        <w:rPr>
          <w:sz w:val="20"/>
          <w:szCs w:val="20"/>
        </w:rPr>
      </w:pPr>
      <w:r>
        <w:rPr>
          <w:sz w:val="20"/>
          <w:szCs w:val="20"/>
        </w:rPr>
        <w:t>A somatória dos pesos resulta em 10. Silva (2012), segundo seus estudos, propõe duas expressões: a primeira, que consiste na média ponderada, e a segunda, que é a expressão geral para o cálculo da maturidade:</w:t>
      </w:r>
    </w:p>
    <w:p w14:paraId="315B0505" w14:textId="77777777" w:rsidR="0045329B" w:rsidRDefault="00D92E7F">
      <w:pPr>
        <w:pStyle w:val="Normal1"/>
        <w:spacing w:line="276" w:lineRule="auto"/>
        <w:jc w:val="both"/>
        <w:rPr>
          <w:sz w:val="20"/>
          <w:szCs w:val="20"/>
        </w:rPr>
      </w:pPr>
      <w:r>
        <w:rPr>
          <w:noProof/>
          <w:sz w:val="20"/>
          <w:szCs w:val="20"/>
        </w:rPr>
        <w:drawing>
          <wp:inline distT="114300" distB="114300" distL="114300" distR="114300" wp14:anchorId="249FE990" wp14:editId="4A678C1D">
            <wp:extent cx="2057400" cy="116205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cstate="print"/>
                    <a:srcRect/>
                    <a:stretch>
                      <a:fillRect/>
                    </a:stretch>
                  </pic:blipFill>
                  <pic:spPr>
                    <a:xfrm>
                      <a:off x="0" y="0"/>
                      <a:ext cx="2057400" cy="1162050"/>
                    </a:xfrm>
                    <a:prstGeom prst="rect">
                      <a:avLst/>
                    </a:prstGeom>
                    <a:ln/>
                  </pic:spPr>
                </pic:pic>
              </a:graphicData>
            </a:graphic>
          </wp:inline>
        </w:drawing>
      </w:r>
    </w:p>
    <w:p w14:paraId="0BDC4CB0" w14:textId="77777777" w:rsidR="0045329B" w:rsidRDefault="00D92E7F">
      <w:pPr>
        <w:pStyle w:val="Normal1"/>
        <w:spacing w:line="276" w:lineRule="auto"/>
        <w:jc w:val="both"/>
        <w:rPr>
          <w:sz w:val="20"/>
          <w:szCs w:val="20"/>
        </w:rPr>
      </w:pPr>
      <w:r>
        <w:rPr>
          <w:noProof/>
          <w:sz w:val="20"/>
          <w:szCs w:val="20"/>
        </w:rPr>
        <w:drawing>
          <wp:inline distT="114300" distB="114300" distL="114300" distR="114300" wp14:anchorId="35850A01" wp14:editId="4BDD8DD2">
            <wp:extent cx="3019425" cy="2667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cstate="print"/>
                    <a:srcRect/>
                    <a:stretch>
                      <a:fillRect/>
                    </a:stretch>
                  </pic:blipFill>
                  <pic:spPr>
                    <a:xfrm>
                      <a:off x="0" y="0"/>
                      <a:ext cx="3019425" cy="266700"/>
                    </a:xfrm>
                    <a:prstGeom prst="rect">
                      <a:avLst/>
                    </a:prstGeom>
                    <a:ln/>
                  </pic:spPr>
                </pic:pic>
              </a:graphicData>
            </a:graphic>
          </wp:inline>
        </w:drawing>
      </w:r>
    </w:p>
    <w:p w14:paraId="1D76B470" w14:textId="77777777" w:rsidR="0045329B" w:rsidRDefault="00D92E7F">
      <w:pPr>
        <w:pStyle w:val="Normal1"/>
        <w:spacing w:line="276" w:lineRule="auto"/>
        <w:ind w:firstLine="720"/>
        <w:jc w:val="both"/>
        <w:rPr>
          <w:sz w:val="20"/>
          <w:szCs w:val="20"/>
        </w:rPr>
      </w:pPr>
      <w:r>
        <w:rPr>
          <w:sz w:val="20"/>
          <w:szCs w:val="20"/>
        </w:rPr>
        <w:t>Os cálculos, conforme mencionado anteriormente, foram informatizados, e os resultados armazenados em um banco de dados.</w:t>
      </w:r>
    </w:p>
    <w:p w14:paraId="6DF4DE83" w14:textId="77777777" w:rsidR="0045329B" w:rsidRDefault="00D92E7F">
      <w:pPr>
        <w:pStyle w:val="Normal1"/>
        <w:spacing w:line="276" w:lineRule="auto"/>
        <w:ind w:firstLine="720"/>
        <w:jc w:val="both"/>
        <w:rPr>
          <w:sz w:val="20"/>
          <w:szCs w:val="20"/>
        </w:rPr>
      </w:pPr>
      <w:r>
        <w:rPr>
          <w:sz w:val="20"/>
          <w:szCs w:val="20"/>
        </w:rPr>
        <w:t>Foi determinado a faixa de resultados para a classificação de maturidade, conforme a listagem abaixo:</w:t>
      </w:r>
    </w:p>
    <w:p w14:paraId="66093FC6" w14:textId="77777777" w:rsidR="0045329B" w:rsidRDefault="00D92E7F">
      <w:pPr>
        <w:pStyle w:val="Normal1"/>
        <w:numPr>
          <w:ilvl w:val="0"/>
          <w:numId w:val="3"/>
        </w:numPr>
        <w:spacing w:line="276" w:lineRule="auto"/>
        <w:jc w:val="both"/>
        <w:rPr>
          <w:sz w:val="20"/>
          <w:szCs w:val="20"/>
        </w:rPr>
      </w:pPr>
      <w:r>
        <w:rPr>
          <w:sz w:val="20"/>
          <w:szCs w:val="20"/>
        </w:rPr>
        <w:t>Igual a 1,9: nível de maturidade 1 - Inicial;</w:t>
      </w:r>
    </w:p>
    <w:p w14:paraId="0BE07642" w14:textId="77777777" w:rsidR="0045329B" w:rsidRDefault="00D92E7F">
      <w:pPr>
        <w:pStyle w:val="Normal1"/>
        <w:numPr>
          <w:ilvl w:val="0"/>
          <w:numId w:val="3"/>
        </w:numPr>
        <w:spacing w:line="276" w:lineRule="auto"/>
        <w:jc w:val="both"/>
        <w:rPr>
          <w:sz w:val="20"/>
          <w:szCs w:val="20"/>
        </w:rPr>
      </w:pPr>
      <w:r>
        <w:rPr>
          <w:sz w:val="20"/>
          <w:szCs w:val="20"/>
        </w:rPr>
        <w:t>Maior ou igual a 2 e menor ou igual a 2,9: nível de maturidade 2 - Repetitivo;</w:t>
      </w:r>
    </w:p>
    <w:p w14:paraId="3D2587F6" w14:textId="77777777" w:rsidR="0045329B" w:rsidRDefault="00D92E7F">
      <w:pPr>
        <w:pStyle w:val="Normal1"/>
        <w:numPr>
          <w:ilvl w:val="0"/>
          <w:numId w:val="3"/>
        </w:numPr>
        <w:spacing w:line="276" w:lineRule="auto"/>
        <w:jc w:val="both"/>
        <w:rPr>
          <w:sz w:val="20"/>
          <w:szCs w:val="20"/>
        </w:rPr>
      </w:pPr>
      <w:r>
        <w:rPr>
          <w:sz w:val="20"/>
          <w:szCs w:val="20"/>
        </w:rPr>
        <w:t xml:space="preserve">Maior ou igual a 3 e menor ou igual a 3,9: nível de maturidade 3 - Definido; </w:t>
      </w:r>
    </w:p>
    <w:p w14:paraId="63DDB4DE" w14:textId="77777777" w:rsidR="0045329B" w:rsidRDefault="00D92E7F">
      <w:pPr>
        <w:pStyle w:val="Normal1"/>
        <w:numPr>
          <w:ilvl w:val="0"/>
          <w:numId w:val="3"/>
        </w:numPr>
        <w:spacing w:line="276" w:lineRule="auto"/>
        <w:jc w:val="both"/>
        <w:rPr>
          <w:sz w:val="20"/>
          <w:szCs w:val="20"/>
        </w:rPr>
      </w:pPr>
      <w:r>
        <w:rPr>
          <w:sz w:val="20"/>
          <w:szCs w:val="20"/>
        </w:rPr>
        <w:t xml:space="preserve">Maior ou igual a 4 e menor ou igual a 4,9: nível de maturidade 4 - Gerenciado;  </w:t>
      </w:r>
    </w:p>
    <w:p w14:paraId="4B7093F2" w14:textId="77777777" w:rsidR="0045329B" w:rsidRDefault="00D92E7F">
      <w:pPr>
        <w:pStyle w:val="Normal1"/>
        <w:numPr>
          <w:ilvl w:val="0"/>
          <w:numId w:val="3"/>
        </w:numPr>
        <w:spacing w:line="276" w:lineRule="auto"/>
        <w:jc w:val="both"/>
        <w:rPr>
          <w:sz w:val="20"/>
          <w:szCs w:val="20"/>
        </w:rPr>
      </w:pPr>
      <w:r>
        <w:rPr>
          <w:sz w:val="20"/>
          <w:szCs w:val="20"/>
        </w:rPr>
        <w:t xml:space="preserve">Igual a 5: nível de maturidade 5 - Otimizado. </w:t>
      </w:r>
    </w:p>
    <w:p w14:paraId="38E888F3" w14:textId="77777777" w:rsidR="0045329B" w:rsidRDefault="0045329B">
      <w:pPr>
        <w:pStyle w:val="Normal1"/>
        <w:spacing w:line="276" w:lineRule="auto"/>
        <w:ind w:firstLine="720"/>
        <w:jc w:val="both"/>
        <w:rPr>
          <w:sz w:val="20"/>
          <w:szCs w:val="20"/>
        </w:rPr>
      </w:pPr>
    </w:p>
    <w:p w14:paraId="4BDAAA8B" w14:textId="77777777" w:rsidR="0045329B" w:rsidRDefault="00D92E7F">
      <w:pPr>
        <w:pStyle w:val="Normal1"/>
        <w:spacing w:line="276" w:lineRule="auto"/>
        <w:ind w:firstLine="720"/>
        <w:jc w:val="both"/>
        <w:rPr>
          <w:sz w:val="20"/>
          <w:szCs w:val="20"/>
        </w:rPr>
      </w:pPr>
      <w:r>
        <w:rPr>
          <w:sz w:val="20"/>
          <w:szCs w:val="20"/>
        </w:rPr>
        <w:t xml:space="preserve">Silva (2012) ressalta que os cálculos acima e a relação do nível de maturidade alcançado correspondem a </w:t>
      </w:r>
      <w:r>
        <w:rPr>
          <w:sz w:val="20"/>
          <w:szCs w:val="20"/>
        </w:rPr>
        <w:lastRenderedPageBreak/>
        <w:t>um só questionário de um gerenciamento respondido. Se o usuário responder a mais de um questionário, o cálculo da maturidade é feito pela média aritmética das maturidades já avaliadas com o resultado do questionário atual.</w:t>
      </w:r>
    </w:p>
    <w:p w14:paraId="1ECD6F4A" w14:textId="77777777" w:rsidR="0045329B" w:rsidRDefault="0045329B">
      <w:pPr>
        <w:pStyle w:val="Normal1"/>
        <w:jc w:val="both"/>
        <w:rPr>
          <w:sz w:val="20"/>
          <w:szCs w:val="20"/>
        </w:rPr>
      </w:pPr>
    </w:p>
    <w:p w14:paraId="4A3326B9" w14:textId="77777777" w:rsidR="0045329B" w:rsidRDefault="00D92E7F" w:rsidP="005C780A">
      <w:pPr>
        <w:pStyle w:val="Ttulo1"/>
      </w:pPr>
      <w:bookmarkStart w:id="19" w:name="_Toc10472169"/>
      <w:r>
        <w:t>RESULTADOS</w:t>
      </w:r>
      <w:bookmarkEnd w:id="19"/>
    </w:p>
    <w:p w14:paraId="276173EE" w14:textId="77777777" w:rsidR="0045329B" w:rsidRDefault="00D92E7F">
      <w:pPr>
        <w:pStyle w:val="Normal1"/>
        <w:jc w:val="right"/>
        <w:rPr>
          <w:color w:val="FF0000"/>
          <w:sz w:val="20"/>
          <w:szCs w:val="20"/>
        </w:rPr>
      </w:pPr>
      <w:r>
        <w:rPr>
          <w:color w:val="FF0000"/>
          <w:sz w:val="20"/>
          <w:szCs w:val="20"/>
        </w:rPr>
        <w:t xml:space="preserve"> </w:t>
      </w:r>
    </w:p>
    <w:p w14:paraId="60A93A70" w14:textId="77777777" w:rsidR="0045329B" w:rsidRDefault="00D92E7F">
      <w:pPr>
        <w:pStyle w:val="Normal1"/>
        <w:ind w:firstLine="720"/>
        <w:jc w:val="both"/>
        <w:rPr>
          <w:sz w:val="20"/>
          <w:szCs w:val="20"/>
        </w:rPr>
      </w:pPr>
      <w:r>
        <w:rPr>
          <w:sz w:val="20"/>
          <w:szCs w:val="20"/>
        </w:rPr>
        <w:t>Este tópico refere-se à apresentação do software desenvolvido, com a descrição das funcionalidades das telas de interface do usuário.</w:t>
      </w:r>
    </w:p>
    <w:p w14:paraId="5733D7BE" w14:textId="77777777" w:rsidR="0045329B" w:rsidRDefault="00D92E7F">
      <w:pPr>
        <w:pStyle w:val="Normal1"/>
        <w:ind w:firstLine="708"/>
        <w:jc w:val="both"/>
        <w:rPr>
          <w:sz w:val="20"/>
          <w:szCs w:val="20"/>
        </w:rPr>
      </w:pPr>
      <w:r>
        <w:rPr>
          <w:sz w:val="20"/>
          <w:szCs w:val="20"/>
        </w:rPr>
        <w:t xml:space="preserve">O sistema deverá ser acessado via internet. Ao acessar o sistema, o usuário irá visualizar a tela inicial - APÊNDICE A, Figura 1. </w:t>
      </w:r>
    </w:p>
    <w:p w14:paraId="7AE873EE" w14:textId="77777777" w:rsidR="0045329B" w:rsidRDefault="00D92E7F">
      <w:pPr>
        <w:pStyle w:val="Normal1"/>
        <w:ind w:firstLine="708"/>
        <w:jc w:val="both"/>
        <w:rPr>
          <w:sz w:val="20"/>
          <w:szCs w:val="20"/>
        </w:rPr>
      </w:pPr>
      <w:r>
        <w:rPr>
          <w:sz w:val="20"/>
          <w:szCs w:val="20"/>
        </w:rPr>
        <w:t>O título da tela inicial descreve a funcionalidade do software: Sistema de Avaliação ITIL. Esta tela tem duas opções: Avaliar empresa e Empresas Avaliadas. Ao clicar em “Avaliar empresas”, o usuário é redirecionado para a tela do APÊNDICE B, Figura 2; se clicar na opção “Empresas avaliadas”, o usuário é redirecionado para a tela do APÊNDICE G, Figura 7.</w:t>
      </w:r>
    </w:p>
    <w:p w14:paraId="42B45E7B" w14:textId="77777777" w:rsidR="0045329B" w:rsidRDefault="00D92E7F">
      <w:pPr>
        <w:pStyle w:val="Normal1"/>
        <w:ind w:firstLine="708"/>
        <w:jc w:val="both"/>
        <w:rPr>
          <w:sz w:val="20"/>
          <w:szCs w:val="20"/>
        </w:rPr>
      </w:pPr>
      <w:r>
        <w:rPr>
          <w:sz w:val="20"/>
          <w:szCs w:val="20"/>
        </w:rPr>
        <w:t xml:space="preserve">A tela do APÊNDICE B- Figura 2, cujo título é “Ciclo de vida ITIL”, contém a opção de escolha das fases do ciclo de vida a serem avaliadas. Após a escolha, o usuário escolherá o tipo de gerenciamento a ser avaliado - APÊNDICE C, Figura 3. Esta sequência se repete para qualquer fase do ciclo de vida a ser avaliada; </w:t>
      </w:r>
      <w:r w:rsidR="008D52A0">
        <w:rPr>
          <w:sz w:val="20"/>
          <w:szCs w:val="20"/>
        </w:rPr>
        <w:t>a alteração que ocorre é</w:t>
      </w:r>
      <w:r>
        <w:rPr>
          <w:sz w:val="20"/>
          <w:szCs w:val="20"/>
        </w:rPr>
        <w:t xml:space="preserve"> nos textos de cada gerenciamento.</w:t>
      </w:r>
    </w:p>
    <w:p w14:paraId="1C99799D" w14:textId="77777777" w:rsidR="0045329B" w:rsidRDefault="00D92E7F">
      <w:pPr>
        <w:pStyle w:val="Normal1"/>
        <w:ind w:firstLine="708"/>
        <w:jc w:val="both"/>
        <w:rPr>
          <w:sz w:val="20"/>
          <w:szCs w:val="20"/>
        </w:rPr>
      </w:pPr>
      <w:r>
        <w:rPr>
          <w:sz w:val="20"/>
          <w:szCs w:val="20"/>
        </w:rPr>
        <w:t>Após clicar sobre algum dos links do tipo de gerenciamento, o usuário é direcionado para a tela do APÊNDICE D, Figura 4. Nesta tela está contido um campo de texto para inserir o nome da empresa (este campo deverá ser preenchido, pois está validado), e um botão próximo, o qual redireciona para a página de perguntas - APÊNDICE E, Figura 5.</w:t>
      </w:r>
    </w:p>
    <w:p w14:paraId="46DB4936" w14:textId="77777777" w:rsidR="0045329B" w:rsidRDefault="00D92E7F">
      <w:pPr>
        <w:pStyle w:val="Normal1"/>
        <w:ind w:firstLine="708"/>
        <w:jc w:val="both"/>
        <w:rPr>
          <w:sz w:val="20"/>
          <w:szCs w:val="20"/>
        </w:rPr>
      </w:pPr>
      <w:r>
        <w:rPr>
          <w:sz w:val="20"/>
          <w:szCs w:val="20"/>
        </w:rPr>
        <w:t xml:space="preserve">Na página de perguntas, no lado esquerdo constam o campo com o título da pergunta, e abaixo deste, as quatro opções, entre as quais o usuário poderá selecionar apenas uma, e clicar em próximo. A próxima pergunta não é exibida enquanto o usuário não preencher alguma opção (caso clique no botão próximo, aparece um alerta para responder </w:t>
      </w:r>
      <w:proofErr w:type="gramStart"/>
      <w:r>
        <w:rPr>
          <w:sz w:val="20"/>
          <w:szCs w:val="20"/>
        </w:rPr>
        <w:t>a</w:t>
      </w:r>
      <w:proofErr w:type="gramEnd"/>
      <w:r>
        <w:rPr>
          <w:sz w:val="20"/>
          <w:szCs w:val="20"/>
        </w:rPr>
        <w:t xml:space="preserve"> questão). No lado direito da página, há um campo que mostra uma breve descrição de qual gerenciamento o usuário responde o questionário - APÊNDICE E, Figura 5.</w:t>
      </w:r>
    </w:p>
    <w:p w14:paraId="659479E7" w14:textId="77777777" w:rsidR="0045329B" w:rsidRDefault="00D92E7F">
      <w:pPr>
        <w:pStyle w:val="Normal1"/>
        <w:ind w:firstLine="708"/>
        <w:jc w:val="both"/>
        <w:rPr>
          <w:sz w:val="20"/>
          <w:szCs w:val="20"/>
        </w:rPr>
      </w:pPr>
      <w:r>
        <w:rPr>
          <w:sz w:val="20"/>
          <w:szCs w:val="20"/>
        </w:rPr>
        <w:t>O formato padrão da página de perguntas se mantém até que sejam respondidas todas as 25 (vinte e cinco) questões. Após responder a última questão, o sistema exibe a tela com o nível de maturidade alcançado, e um texto descritivo acerca do nível - APÊNDICE F, Figura 6. Ao clicar em “Finalizar", a sessão é encerrada, e os resultados da avaliação podem ser consultados na tela inicial, ao clicar em “Empresas Avaliadas” - APÊNDICE A, Figura 1, e após acessar a página “Buscar empresas avaliadas” - APÊNDICE G, Figura 7. Nesta página, pode-se buscar, digitando no campo de texto disponível, o nome que foi inserido no início da avaliação - APÊNDICE D, Figura 4.</w:t>
      </w:r>
    </w:p>
    <w:p w14:paraId="0C15723B" w14:textId="77777777" w:rsidR="0045329B" w:rsidRDefault="00D92E7F">
      <w:pPr>
        <w:pStyle w:val="Normal1"/>
        <w:ind w:firstLine="708"/>
        <w:jc w:val="both"/>
        <w:rPr>
          <w:sz w:val="20"/>
          <w:szCs w:val="20"/>
        </w:rPr>
      </w:pPr>
      <w:r>
        <w:rPr>
          <w:sz w:val="20"/>
          <w:szCs w:val="20"/>
        </w:rPr>
        <w:t>Na área administrativa do software, pode-se realizar o cadastro de perguntas, bem como alteração, visualização e remoção - APÊNDICE H, Figura 8. Pode ser realizada a busca de perguntas por gerenciamento, digitando no campo de nome “Busca por gerenciamento”.</w:t>
      </w:r>
    </w:p>
    <w:p w14:paraId="2DCBF6B6" w14:textId="77777777" w:rsidR="0045329B" w:rsidRDefault="0045329B">
      <w:pPr>
        <w:pStyle w:val="Normal1"/>
        <w:ind w:firstLine="708"/>
        <w:jc w:val="both"/>
        <w:rPr>
          <w:sz w:val="20"/>
          <w:szCs w:val="20"/>
        </w:rPr>
      </w:pPr>
    </w:p>
    <w:p w14:paraId="04C45D37" w14:textId="77777777" w:rsidR="0045329B" w:rsidRDefault="00A22C30" w:rsidP="005C780A">
      <w:pPr>
        <w:pStyle w:val="Ttulo1"/>
      </w:pPr>
      <w:bookmarkStart w:id="20" w:name="_Toc10472170"/>
      <w:r>
        <w:t>CONSIDERAÇÕES FINAIS</w:t>
      </w:r>
      <w:bookmarkEnd w:id="20"/>
      <w:r>
        <w:t xml:space="preserve"> </w:t>
      </w:r>
    </w:p>
    <w:p w14:paraId="7C38CA30" w14:textId="77777777" w:rsidR="0045329B" w:rsidRDefault="00D92E7F">
      <w:pPr>
        <w:pStyle w:val="Normal1"/>
        <w:jc w:val="right"/>
        <w:rPr>
          <w:color w:val="FF0000"/>
          <w:sz w:val="20"/>
          <w:szCs w:val="20"/>
        </w:rPr>
      </w:pPr>
      <w:r>
        <w:rPr>
          <w:color w:val="FF0000"/>
          <w:sz w:val="20"/>
          <w:szCs w:val="20"/>
        </w:rPr>
        <w:t xml:space="preserve"> </w:t>
      </w:r>
    </w:p>
    <w:p w14:paraId="29B19105" w14:textId="77777777" w:rsidR="0045329B" w:rsidRDefault="00A22C30">
      <w:pPr>
        <w:pStyle w:val="Normal1"/>
        <w:ind w:firstLine="567"/>
        <w:jc w:val="both"/>
        <w:rPr>
          <w:sz w:val="20"/>
          <w:szCs w:val="20"/>
        </w:rPr>
      </w:pPr>
      <w:r>
        <w:rPr>
          <w:sz w:val="20"/>
          <w:szCs w:val="20"/>
        </w:rPr>
        <w:t>As estruturas administrativas – Frameworks –</w:t>
      </w:r>
      <w:r w:rsidR="00516356">
        <w:rPr>
          <w:sz w:val="20"/>
          <w:szCs w:val="20"/>
        </w:rPr>
        <w:t xml:space="preserve"> </w:t>
      </w:r>
      <w:r>
        <w:rPr>
          <w:sz w:val="20"/>
          <w:szCs w:val="20"/>
        </w:rPr>
        <w:t>que contemplam as melhores práticas visam sugerir às empresas um conjunto de procedimentos nos quais seus processos deverão ser adaptados, no intuito de torná-los cada vez mais eficientes visando a otimização de seus ganhos</w:t>
      </w:r>
      <w:r w:rsidR="00D92E7F">
        <w:rPr>
          <w:sz w:val="20"/>
          <w:szCs w:val="20"/>
        </w:rPr>
        <w:t>.</w:t>
      </w:r>
    </w:p>
    <w:p w14:paraId="1C1530C7" w14:textId="77777777" w:rsidR="00A22C30" w:rsidRDefault="00A22C30">
      <w:pPr>
        <w:pStyle w:val="Normal1"/>
        <w:ind w:firstLine="567"/>
        <w:jc w:val="both"/>
        <w:rPr>
          <w:sz w:val="20"/>
          <w:szCs w:val="20"/>
        </w:rPr>
      </w:pPr>
      <w:r>
        <w:rPr>
          <w:sz w:val="20"/>
          <w:szCs w:val="20"/>
        </w:rPr>
        <w:t xml:space="preserve">Assim, o desenvolvimento de softwares que objetivam fomentar o uso de Frameworks tende </w:t>
      </w:r>
      <w:r w:rsidR="00213D44">
        <w:rPr>
          <w:sz w:val="20"/>
          <w:szCs w:val="20"/>
        </w:rPr>
        <w:t>a auxiliar os administradores e consultores administrativos que necessitam obter resultados consistentes para eventuais</w:t>
      </w:r>
      <w:r>
        <w:rPr>
          <w:sz w:val="20"/>
          <w:szCs w:val="20"/>
        </w:rPr>
        <w:t xml:space="preserve"> </w:t>
      </w:r>
      <w:r w:rsidR="00213D44">
        <w:rPr>
          <w:sz w:val="20"/>
          <w:szCs w:val="20"/>
        </w:rPr>
        <w:t>tomadas de decisão.</w:t>
      </w:r>
    </w:p>
    <w:p w14:paraId="73FD1277" w14:textId="77777777" w:rsidR="00213D44" w:rsidRDefault="00213D44">
      <w:pPr>
        <w:pStyle w:val="Normal1"/>
        <w:ind w:firstLine="567"/>
        <w:jc w:val="both"/>
        <w:rPr>
          <w:sz w:val="20"/>
          <w:szCs w:val="20"/>
        </w:rPr>
      </w:pPr>
      <w:r>
        <w:rPr>
          <w:sz w:val="20"/>
          <w:szCs w:val="20"/>
        </w:rPr>
        <w:t>O presente trabalho teve como meta o desenvolvimento de um aplicativo que, através de preceitos avaliativos com base no Framework ITIL e o conceito de maturidade já estudados por intermédio de um artigo desenvolvido por Silva (2012)</w:t>
      </w:r>
      <w:r w:rsidR="00516356">
        <w:rPr>
          <w:sz w:val="20"/>
          <w:szCs w:val="20"/>
        </w:rPr>
        <w:t>, automatizasse suas rotinas e cálculos para a obtenção dos devidos resultados e, seu consequente registro para avaliações históricas</w:t>
      </w:r>
      <w:r>
        <w:rPr>
          <w:sz w:val="20"/>
          <w:szCs w:val="20"/>
        </w:rPr>
        <w:t xml:space="preserve">. </w:t>
      </w:r>
    </w:p>
    <w:p w14:paraId="4EBA46B5" w14:textId="77777777" w:rsidR="00213D44" w:rsidRDefault="00213D44">
      <w:pPr>
        <w:pStyle w:val="Normal1"/>
        <w:ind w:firstLine="567"/>
        <w:jc w:val="both"/>
        <w:rPr>
          <w:sz w:val="20"/>
          <w:szCs w:val="20"/>
        </w:rPr>
      </w:pPr>
      <w:r>
        <w:rPr>
          <w:sz w:val="20"/>
          <w:szCs w:val="20"/>
        </w:rPr>
        <w:t xml:space="preserve">Como o trabalho </w:t>
      </w:r>
      <w:r w:rsidR="009E79C0">
        <w:rPr>
          <w:sz w:val="20"/>
          <w:szCs w:val="20"/>
        </w:rPr>
        <w:t>concebido</w:t>
      </w:r>
      <w:r>
        <w:rPr>
          <w:sz w:val="20"/>
          <w:szCs w:val="20"/>
        </w:rPr>
        <w:t xml:space="preserve"> por Silva (2012) apresentou a devida eficiência, </w:t>
      </w:r>
      <w:r w:rsidR="009E79C0">
        <w:rPr>
          <w:sz w:val="20"/>
          <w:szCs w:val="20"/>
        </w:rPr>
        <w:t xml:space="preserve">o software ora apresentado visou automatizar as rotinas propostas pelo artigo, obtendo assim a devida agilidade para que os empresários que fizerem uso da aplicação </w:t>
      </w:r>
      <w:r w:rsidR="00516356">
        <w:rPr>
          <w:sz w:val="20"/>
          <w:szCs w:val="20"/>
        </w:rPr>
        <w:t>pudessem</w:t>
      </w:r>
      <w:r w:rsidR="009E79C0">
        <w:rPr>
          <w:sz w:val="20"/>
          <w:szCs w:val="20"/>
        </w:rPr>
        <w:t xml:space="preserve"> manter registros cronológicos de suas progressões, permitindo-os observar em qual característica do Framework a empresa deverá se empenhar para o alcance de seus objetivos. </w:t>
      </w:r>
    </w:p>
    <w:p w14:paraId="5B3761BF" w14:textId="77777777" w:rsidR="009E79C0" w:rsidRDefault="009E79C0">
      <w:pPr>
        <w:pStyle w:val="Normal1"/>
        <w:ind w:firstLine="567"/>
        <w:jc w:val="both"/>
        <w:rPr>
          <w:sz w:val="20"/>
          <w:szCs w:val="20"/>
        </w:rPr>
      </w:pPr>
      <w:r>
        <w:rPr>
          <w:sz w:val="20"/>
          <w:szCs w:val="20"/>
        </w:rPr>
        <w:t xml:space="preserve">Portanto, com a aplicação do software desenvolvido, estabeleceu-se uma maneira automatizada, dinâmica e possível de ser amplamente difundida, justamente por deter a plataforma Web como sua base. </w:t>
      </w:r>
    </w:p>
    <w:p w14:paraId="76ADCDFA" w14:textId="77777777" w:rsidR="009E79C0" w:rsidRDefault="009E79C0">
      <w:pPr>
        <w:pStyle w:val="Normal1"/>
        <w:ind w:firstLine="567"/>
        <w:jc w:val="both"/>
        <w:rPr>
          <w:sz w:val="20"/>
          <w:szCs w:val="20"/>
        </w:rPr>
      </w:pPr>
      <w:r>
        <w:rPr>
          <w:sz w:val="20"/>
          <w:szCs w:val="20"/>
        </w:rPr>
        <w:t xml:space="preserve">Sugere-se para estudos futuros uma ampliação das características do aplicativo incluindo </w:t>
      </w:r>
      <w:r w:rsidR="00246C2B">
        <w:rPr>
          <w:sz w:val="20"/>
          <w:szCs w:val="20"/>
        </w:rPr>
        <w:t xml:space="preserve">mais gerenciamentos do próprio Framework ITIL assim como a inclusão de outros Frameworks afins, como COBIT e </w:t>
      </w:r>
      <w:proofErr w:type="spellStart"/>
      <w:r w:rsidR="00246C2B">
        <w:rPr>
          <w:sz w:val="20"/>
          <w:szCs w:val="20"/>
        </w:rPr>
        <w:t>Canvas</w:t>
      </w:r>
      <w:proofErr w:type="spellEnd"/>
      <w:r w:rsidR="00246C2B">
        <w:rPr>
          <w:sz w:val="20"/>
          <w:szCs w:val="20"/>
        </w:rPr>
        <w:t>.</w:t>
      </w:r>
    </w:p>
    <w:p w14:paraId="04C3D7C0" w14:textId="77777777" w:rsidR="00213D44" w:rsidRDefault="00213D44">
      <w:pPr>
        <w:pStyle w:val="Normal1"/>
        <w:ind w:firstLine="567"/>
        <w:jc w:val="both"/>
        <w:rPr>
          <w:sz w:val="20"/>
          <w:szCs w:val="20"/>
        </w:rPr>
      </w:pPr>
    </w:p>
    <w:p w14:paraId="683891D3" w14:textId="77777777" w:rsidR="0045329B" w:rsidRDefault="00D92E7F" w:rsidP="005C780A">
      <w:pPr>
        <w:pStyle w:val="Ttulo1"/>
      </w:pPr>
      <w:bookmarkStart w:id="21" w:name="_Toc10472171"/>
      <w:r>
        <w:t>REFERÊNCIAS</w:t>
      </w:r>
      <w:bookmarkEnd w:id="21"/>
    </w:p>
    <w:p w14:paraId="5D3F4AE1" w14:textId="77777777" w:rsidR="0045329B" w:rsidRDefault="00D92E7F">
      <w:pPr>
        <w:pStyle w:val="Normal1"/>
        <w:jc w:val="right"/>
        <w:rPr>
          <w:color w:val="FF0000"/>
          <w:sz w:val="20"/>
          <w:szCs w:val="20"/>
        </w:rPr>
      </w:pPr>
      <w:r>
        <w:rPr>
          <w:color w:val="FF0000"/>
          <w:sz w:val="20"/>
          <w:szCs w:val="20"/>
        </w:rPr>
        <w:t xml:space="preserve"> </w:t>
      </w:r>
    </w:p>
    <w:p w14:paraId="602883E9" w14:textId="77777777" w:rsidR="0045329B" w:rsidRDefault="00D92E7F">
      <w:pPr>
        <w:pStyle w:val="Normal1"/>
        <w:spacing w:line="276" w:lineRule="auto"/>
        <w:rPr>
          <w:sz w:val="20"/>
          <w:szCs w:val="20"/>
        </w:rPr>
      </w:pPr>
      <w:r>
        <w:rPr>
          <w:sz w:val="20"/>
          <w:szCs w:val="20"/>
        </w:rPr>
        <w:t xml:space="preserve">ANTONIO, A.M. </w:t>
      </w:r>
      <w:r>
        <w:rPr>
          <w:b/>
          <w:sz w:val="20"/>
          <w:szCs w:val="20"/>
        </w:rPr>
        <w:t>ITIL v3 e o Gerenciamento da Demanda baseado em atividades.</w:t>
      </w:r>
      <w:r>
        <w:rPr>
          <w:sz w:val="20"/>
          <w:szCs w:val="20"/>
        </w:rPr>
        <w:t xml:space="preserve"> Disponível em: &lt;https://www.pmgacademy.com/pt/blog/artigos/itil-v3-gerenciamento-d</w:t>
      </w:r>
      <w:r w:rsidR="004D342A">
        <w:rPr>
          <w:sz w:val="20"/>
          <w:szCs w:val="20"/>
        </w:rPr>
        <w:t>emanda-baseado-em-atividades&gt;. Acesso em: 07 mai.</w:t>
      </w:r>
      <w:r>
        <w:rPr>
          <w:sz w:val="20"/>
          <w:szCs w:val="20"/>
        </w:rPr>
        <w:t>2019.</w:t>
      </w:r>
    </w:p>
    <w:p w14:paraId="0D596A3F" w14:textId="77777777" w:rsidR="0045329B" w:rsidRDefault="0045329B">
      <w:pPr>
        <w:pStyle w:val="Normal1"/>
        <w:spacing w:line="276" w:lineRule="auto"/>
        <w:rPr>
          <w:sz w:val="20"/>
          <w:szCs w:val="20"/>
        </w:rPr>
      </w:pPr>
    </w:p>
    <w:p w14:paraId="3A4DBC3E" w14:textId="77777777" w:rsidR="0045329B" w:rsidRDefault="00D92E7F">
      <w:pPr>
        <w:pStyle w:val="Normal1"/>
        <w:spacing w:line="276" w:lineRule="auto"/>
        <w:rPr>
          <w:sz w:val="20"/>
          <w:szCs w:val="20"/>
        </w:rPr>
      </w:pPr>
      <w:r>
        <w:rPr>
          <w:sz w:val="20"/>
          <w:szCs w:val="20"/>
        </w:rPr>
        <w:t>CANAVER, G.</w:t>
      </w:r>
      <w:r>
        <w:rPr>
          <w:b/>
          <w:sz w:val="20"/>
          <w:szCs w:val="20"/>
        </w:rPr>
        <w:t xml:space="preserve"> ITIL Foundation – Processos da Estratégia de Serviço – Gerenciamento Financeiro para Serviços de TI.</w:t>
      </w:r>
      <w:r>
        <w:rPr>
          <w:sz w:val="20"/>
          <w:szCs w:val="20"/>
        </w:rPr>
        <w:t xml:space="preserve"> Disponível </w:t>
      </w:r>
      <w:r>
        <w:rPr>
          <w:sz w:val="20"/>
          <w:szCs w:val="20"/>
        </w:rPr>
        <w:lastRenderedPageBreak/>
        <w:t>em:&lt;https://gustavocanaver.wordp</w:t>
      </w:r>
      <w:r w:rsidR="004D342A">
        <w:rPr>
          <w:sz w:val="20"/>
          <w:szCs w:val="20"/>
        </w:rPr>
        <w:t xml:space="preserve">ress.com/2014/05/09/itil_28/&gt;. Acesso em: 07 mai. </w:t>
      </w:r>
      <w:r>
        <w:rPr>
          <w:sz w:val="20"/>
          <w:szCs w:val="20"/>
        </w:rPr>
        <w:t>2019.</w:t>
      </w:r>
    </w:p>
    <w:p w14:paraId="533B69B1" w14:textId="77777777" w:rsidR="0045329B" w:rsidRDefault="0045329B">
      <w:pPr>
        <w:pStyle w:val="Normal1"/>
        <w:spacing w:line="276" w:lineRule="auto"/>
        <w:rPr>
          <w:sz w:val="20"/>
          <w:szCs w:val="20"/>
        </w:rPr>
      </w:pPr>
    </w:p>
    <w:p w14:paraId="29529CF8" w14:textId="77777777" w:rsidR="0045329B" w:rsidRDefault="00D92E7F">
      <w:pPr>
        <w:pStyle w:val="Normal1"/>
        <w:spacing w:line="276" w:lineRule="auto"/>
        <w:rPr>
          <w:sz w:val="20"/>
          <w:szCs w:val="20"/>
        </w:rPr>
      </w:pPr>
      <w:r>
        <w:rPr>
          <w:sz w:val="20"/>
          <w:szCs w:val="20"/>
        </w:rPr>
        <w:t xml:space="preserve">DA SILVA, Rogério Oliveira; DA SILVA OLIVEIRA, André Luiz Albuquerque; DE MELO, Luciana Paiva Campos. </w:t>
      </w:r>
      <w:r>
        <w:rPr>
          <w:b/>
          <w:sz w:val="20"/>
          <w:szCs w:val="20"/>
        </w:rPr>
        <w:t>O Gerenciamento de Serviços de TI com a Utilização do Framework ITIL. Tecnologias Em Projeção</w:t>
      </w:r>
      <w:r>
        <w:rPr>
          <w:sz w:val="20"/>
          <w:szCs w:val="20"/>
        </w:rPr>
        <w:t>, v. 7, n. 2, 2016.</w:t>
      </w:r>
    </w:p>
    <w:p w14:paraId="615C9E9F" w14:textId="77777777" w:rsidR="0045329B" w:rsidRDefault="0045329B">
      <w:pPr>
        <w:pStyle w:val="Normal1"/>
        <w:spacing w:line="276" w:lineRule="auto"/>
        <w:rPr>
          <w:sz w:val="20"/>
          <w:szCs w:val="20"/>
        </w:rPr>
      </w:pPr>
    </w:p>
    <w:p w14:paraId="393E335F" w14:textId="77777777" w:rsidR="0045329B" w:rsidRDefault="00D92E7F">
      <w:pPr>
        <w:pStyle w:val="Normal1"/>
        <w:spacing w:line="276" w:lineRule="auto"/>
        <w:rPr>
          <w:sz w:val="20"/>
          <w:szCs w:val="20"/>
        </w:rPr>
      </w:pPr>
      <w:r>
        <w:rPr>
          <w:sz w:val="20"/>
          <w:szCs w:val="20"/>
        </w:rPr>
        <w:t xml:space="preserve">DA SILVA, Bruno Gomes; RODRIGUES, Kamila Rios H. </w:t>
      </w:r>
      <w:proofErr w:type="spellStart"/>
      <w:r>
        <w:rPr>
          <w:b/>
          <w:sz w:val="20"/>
          <w:szCs w:val="20"/>
        </w:rPr>
        <w:t>Accessibility</w:t>
      </w:r>
      <w:proofErr w:type="spellEnd"/>
      <w:r>
        <w:rPr>
          <w:b/>
          <w:sz w:val="20"/>
          <w:szCs w:val="20"/>
        </w:rPr>
        <w:t xml:space="preserve"> </w:t>
      </w:r>
      <w:proofErr w:type="spellStart"/>
      <w:r>
        <w:rPr>
          <w:b/>
          <w:sz w:val="20"/>
          <w:szCs w:val="20"/>
        </w:rPr>
        <w:t>Challenges</w:t>
      </w:r>
      <w:proofErr w:type="spellEnd"/>
      <w:r>
        <w:rPr>
          <w:b/>
          <w:sz w:val="20"/>
          <w:szCs w:val="20"/>
        </w:rPr>
        <w:t xml:space="preserve"> in Web Systems </w:t>
      </w:r>
      <w:proofErr w:type="spellStart"/>
      <w:r>
        <w:rPr>
          <w:b/>
          <w:sz w:val="20"/>
          <w:szCs w:val="20"/>
        </w:rPr>
        <w:t>Implementation</w:t>
      </w:r>
      <w:proofErr w:type="spellEnd"/>
      <w:r>
        <w:rPr>
          <w:b/>
          <w:sz w:val="20"/>
          <w:szCs w:val="20"/>
        </w:rPr>
        <w:t xml:space="preserve">. </w:t>
      </w:r>
      <w:r>
        <w:rPr>
          <w:sz w:val="20"/>
          <w:szCs w:val="20"/>
        </w:rPr>
        <w:t>In: Anais do IX Workshop sobre Aspectos da Interação Humano-Computador para a Web Social.</w:t>
      </w:r>
      <w:r>
        <w:rPr>
          <w:b/>
          <w:sz w:val="20"/>
          <w:szCs w:val="20"/>
        </w:rPr>
        <w:t xml:space="preserve"> </w:t>
      </w:r>
      <w:r>
        <w:rPr>
          <w:sz w:val="20"/>
          <w:szCs w:val="20"/>
        </w:rPr>
        <w:t>SBC, 2018. p. 105-116.</w:t>
      </w:r>
    </w:p>
    <w:p w14:paraId="224595C9" w14:textId="77777777" w:rsidR="0045329B" w:rsidRDefault="00D92E7F">
      <w:pPr>
        <w:pStyle w:val="Normal1"/>
        <w:spacing w:line="276" w:lineRule="auto"/>
        <w:rPr>
          <w:sz w:val="20"/>
          <w:szCs w:val="20"/>
        </w:rPr>
      </w:pPr>
      <w:r>
        <w:rPr>
          <w:sz w:val="20"/>
          <w:szCs w:val="20"/>
        </w:rPr>
        <w:t xml:space="preserve"> </w:t>
      </w:r>
    </w:p>
    <w:p w14:paraId="6290046D" w14:textId="77777777" w:rsidR="0045329B" w:rsidRDefault="00D92E7F">
      <w:pPr>
        <w:pStyle w:val="Normal1"/>
        <w:spacing w:line="276" w:lineRule="auto"/>
        <w:rPr>
          <w:color w:val="222222"/>
          <w:sz w:val="20"/>
          <w:szCs w:val="20"/>
          <w:highlight w:val="white"/>
        </w:rPr>
      </w:pPr>
      <w:r>
        <w:rPr>
          <w:color w:val="222222"/>
          <w:sz w:val="20"/>
          <w:szCs w:val="20"/>
          <w:highlight w:val="white"/>
        </w:rPr>
        <w:t xml:space="preserve">DE OLIVEIRA DANTAS FILHO, Francisco; DA SILVA, </w:t>
      </w:r>
      <w:proofErr w:type="spellStart"/>
      <w:r>
        <w:rPr>
          <w:color w:val="222222"/>
          <w:sz w:val="20"/>
          <w:szCs w:val="20"/>
          <w:highlight w:val="white"/>
        </w:rPr>
        <w:t>Hevanderson</w:t>
      </w:r>
      <w:proofErr w:type="spellEnd"/>
      <w:r>
        <w:rPr>
          <w:color w:val="222222"/>
          <w:sz w:val="20"/>
          <w:szCs w:val="20"/>
          <w:highlight w:val="white"/>
        </w:rPr>
        <w:t xml:space="preserve">; DE PAULA, </w:t>
      </w:r>
      <w:proofErr w:type="spellStart"/>
      <w:r>
        <w:rPr>
          <w:color w:val="222222"/>
          <w:sz w:val="20"/>
          <w:szCs w:val="20"/>
          <w:highlight w:val="white"/>
        </w:rPr>
        <w:t>Angelo</w:t>
      </w:r>
      <w:proofErr w:type="spellEnd"/>
      <w:r>
        <w:rPr>
          <w:color w:val="222222"/>
          <w:sz w:val="20"/>
          <w:szCs w:val="20"/>
          <w:highlight w:val="white"/>
        </w:rPr>
        <w:t xml:space="preserve"> Márcio. Proposta de um Framework para aplicações web. </w:t>
      </w:r>
      <w:r>
        <w:rPr>
          <w:b/>
          <w:color w:val="222222"/>
          <w:sz w:val="20"/>
          <w:szCs w:val="20"/>
          <w:highlight w:val="white"/>
        </w:rPr>
        <w:t xml:space="preserve">Cadernos </w:t>
      </w:r>
      <w:proofErr w:type="spellStart"/>
      <w:r>
        <w:rPr>
          <w:b/>
          <w:color w:val="222222"/>
          <w:sz w:val="20"/>
          <w:szCs w:val="20"/>
          <w:highlight w:val="white"/>
        </w:rPr>
        <w:t>UniFOA</w:t>
      </w:r>
      <w:proofErr w:type="spellEnd"/>
      <w:r>
        <w:rPr>
          <w:color w:val="222222"/>
          <w:sz w:val="20"/>
          <w:szCs w:val="20"/>
          <w:highlight w:val="white"/>
        </w:rPr>
        <w:t>, v. 4, n. 11, p. 19-27, 2017.</w:t>
      </w:r>
    </w:p>
    <w:p w14:paraId="4A06C395" w14:textId="77777777" w:rsidR="0045329B" w:rsidRDefault="00D92E7F">
      <w:pPr>
        <w:pStyle w:val="Normal1"/>
        <w:spacing w:line="276" w:lineRule="auto"/>
      </w:pPr>
      <w:r>
        <w:t xml:space="preserve"> </w:t>
      </w:r>
    </w:p>
    <w:p w14:paraId="0089F9E2" w14:textId="77777777" w:rsidR="0045329B" w:rsidRDefault="00D92E7F">
      <w:pPr>
        <w:pStyle w:val="Normal1"/>
        <w:spacing w:line="276" w:lineRule="auto"/>
        <w:rPr>
          <w:sz w:val="20"/>
          <w:szCs w:val="20"/>
        </w:rPr>
      </w:pPr>
      <w:r>
        <w:rPr>
          <w:sz w:val="20"/>
          <w:szCs w:val="20"/>
        </w:rPr>
        <w:t xml:space="preserve">FELISBERTO, Fábio Lúcio. </w:t>
      </w:r>
      <w:r>
        <w:rPr>
          <w:b/>
          <w:sz w:val="20"/>
          <w:szCs w:val="20"/>
        </w:rPr>
        <w:t>A governança de TI e as melhores práticas ITIL na entrega de serviços.</w:t>
      </w:r>
      <w:r>
        <w:rPr>
          <w:sz w:val="20"/>
          <w:szCs w:val="20"/>
        </w:rPr>
        <w:t xml:space="preserve"> Disponível em: &lt;</w:t>
      </w:r>
      <w:hyperlink r:id="rId15">
        <w:r>
          <w:rPr>
            <w:sz w:val="20"/>
            <w:szCs w:val="20"/>
          </w:rPr>
          <w:t>https://riuni.unisul.br/bitstream/handle/12345/2977/Artigo_Governanca_TI_e_ITIL_Fabio_Lucio_Felisberto.pdf?sequence=1&amp;isAllowed=y</w:t>
        </w:r>
      </w:hyperlink>
      <w:r w:rsidR="004D342A">
        <w:rPr>
          <w:sz w:val="20"/>
          <w:szCs w:val="20"/>
        </w:rPr>
        <w:t xml:space="preserve">&gt;.Acesso em: 16 mai. </w:t>
      </w:r>
      <w:r>
        <w:rPr>
          <w:sz w:val="20"/>
          <w:szCs w:val="20"/>
        </w:rPr>
        <w:t>2018.</w:t>
      </w:r>
    </w:p>
    <w:p w14:paraId="484402E8" w14:textId="77777777" w:rsidR="0045329B" w:rsidRDefault="00D92E7F">
      <w:pPr>
        <w:pStyle w:val="Normal1"/>
        <w:spacing w:line="276" w:lineRule="auto"/>
        <w:rPr>
          <w:sz w:val="20"/>
          <w:szCs w:val="20"/>
        </w:rPr>
      </w:pPr>
      <w:r>
        <w:rPr>
          <w:sz w:val="20"/>
          <w:szCs w:val="20"/>
        </w:rPr>
        <w:t xml:space="preserve"> </w:t>
      </w:r>
    </w:p>
    <w:p w14:paraId="743053C6" w14:textId="77777777" w:rsidR="0045329B" w:rsidRDefault="00D92E7F">
      <w:pPr>
        <w:pStyle w:val="Normal1"/>
        <w:spacing w:line="276" w:lineRule="auto"/>
        <w:rPr>
          <w:sz w:val="20"/>
          <w:szCs w:val="20"/>
        </w:rPr>
      </w:pPr>
      <w:r>
        <w:rPr>
          <w:sz w:val="20"/>
          <w:szCs w:val="20"/>
        </w:rPr>
        <w:t xml:space="preserve">FIGUEIRA, Tiago André Ferreira de Almeida et al. </w:t>
      </w:r>
      <w:r>
        <w:rPr>
          <w:b/>
          <w:sz w:val="20"/>
          <w:szCs w:val="20"/>
        </w:rPr>
        <w:t>Aplicação web-</w:t>
      </w:r>
      <w:proofErr w:type="spellStart"/>
      <w:r>
        <w:rPr>
          <w:b/>
          <w:sz w:val="20"/>
          <w:szCs w:val="20"/>
        </w:rPr>
        <w:t>based</w:t>
      </w:r>
      <w:proofErr w:type="spellEnd"/>
      <w:r>
        <w:rPr>
          <w:b/>
          <w:sz w:val="20"/>
          <w:szCs w:val="20"/>
        </w:rPr>
        <w:t xml:space="preserve"> para gestão e optimização da distribuição de serviço docente.</w:t>
      </w:r>
      <w:r>
        <w:rPr>
          <w:sz w:val="20"/>
          <w:szCs w:val="20"/>
        </w:rPr>
        <w:t xml:space="preserve"> 2018. Tese de Doutorado.</w:t>
      </w:r>
    </w:p>
    <w:p w14:paraId="7D0AC1E5" w14:textId="77777777" w:rsidR="0045329B" w:rsidRDefault="0045329B">
      <w:pPr>
        <w:pStyle w:val="Normal1"/>
        <w:spacing w:line="276" w:lineRule="auto"/>
        <w:rPr>
          <w:sz w:val="20"/>
          <w:szCs w:val="20"/>
        </w:rPr>
      </w:pPr>
    </w:p>
    <w:p w14:paraId="20BD6ED8" w14:textId="77777777" w:rsidR="0045329B" w:rsidRDefault="00D92E7F">
      <w:pPr>
        <w:pStyle w:val="Normal1"/>
        <w:spacing w:line="276" w:lineRule="auto"/>
        <w:rPr>
          <w:sz w:val="20"/>
          <w:szCs w:val="20"/>
        </w:rPr>
      </w:pPr>
      <w:r>
        <w:rPr>
          <w:sz w:val="20"/>
          <w:szCs w:val="20"/>
        </w:rPr>
        <w:t xml:space="preserve">LOUDON, </w:t>
      </w:r>
      <w:proofErr w:type="spellStart"/>
      <w:r>
        <w:rPr>
          <w:sz w:val="20"/>
          <w:szCs w:val="20"/>
        </w:rPr>
        <w:t>Kyle</w:t>
      </w:r>
      <w:proofErr w:type="spellEnd"/>
      <w:r>
        <w:rPr>
          <w:sz w:val="20"/>
          <w:szCs w:val="20"/>
        </w:rPr>
        <w:t xml:space="preserve">. </w:t>
      </w:r>
      <w:r>
        <w:rPr>
          <w:b/>
          <w:sz w:val="20"/>
          <w:szCs w:val="20"/>
        </w:rPr>
        <w:t>Desenvolvimento de grandes aplicações Web</w:t>
      </w:r>
      <w:r>
        <w:rPr>
          <w:sz w:val="20"/>
          <w:szCs w:val="20"/>
        </w:rPr>
        <w:t xml:space="preserve">. Revista </w:t>
      </w:r>
      <w:proofErr w:type="spellStart"/>
      <w:r>
        <w:rPr>
          <w:sz w:val="20"/>
          <w:szCs w:val="20"/>
        </w:rPr>
        <w:t>Telfract</w:t>
      </w:r>
      <w:proofErr w:type="spellEnd"/>
      <w:r>
        <w:rPr>
          <w:sz w:val="20"/>
          <w:szCs w:val="20"/>
        </w:rPr>
        <w:t>, v. 1, n. 1, 2018.</w:t>
      </w:r>
    </w:p>
    <w:p w14:paraId="1E5229AA" w14:textId="77777777" w:rsidR="0045329B" w:rsidRDefault="0045329B">
      <w:pPr>
        <w:pStyle w:val="Normal1"/>
        <w:spacing w:line="276" w:lineRule="auto"/>
        <w:rPr>
          <w:sz w:val="20"/>
          <w:szCs w:val="20"/>
        </w:rPr>
      </w:pPr>
    </w:p>
    <w:p w14:paraId="51152663" w14:textId="77777777" w:rsidR="0045329B" w:rsidRDefault="00ED2A52">
      <w:pPr>
        <w:pStyle w:val="Normal1"/>
        <w:spacing w:line="276" w:lineRule="auto"/>
        <w:rPr>
          <w:sz w:val="20"/>
          <w:szCs w:val="20"/>
        </w:rPr>
      </w:pPr>
      <w:r>
        <w:rPr>
          <w:sz w:val="20"/>
          <w:szCs w:val="20"/>
        </w:rPr>
        <w:t>MAGALHÃES, I. L.; PINHEIRO, W.</w:t>
      </w:r>
      <w:r w:rsidR="00D92E7F">
        <w:rPr>
          <w:sz w:val="20"/>
          <w:szCs w:val="20"/>
        </w:rPr>
        <w:t xml:space="preserve">B. </w:t>
      </w:r>
      <w:r w:rsidR="00D92E7F">
        <w:rPr>
          <w:b/>
          <w:sz w:val="20"/>
          <w:szCs w:val="20"/>
        </w:rPr>
        <w:t>Gerenciamento de serviços de T.I na prática: uma abordagem com base na ITIL®.</w:t>
      </w:r>
      <w:r w:rsidR="00D92E7F">
        <w:rPr>
          <w:sz w:val="20"/>
          <w:szCs w:val="20"/>
        </w:rPr>
        <w:t xml:space="preserve"> Editora </w:t>
      </w:r>
      <w:proofErr w:type="spellStart"/>
      <w:r w:rsidR="00D92E7F">
        <w:rPr>
          <w:sz w:val="20"/>
          <w:szCs w:val="20"/>
        </w:rPr>
        <w:t>Novatec</w:t>
      </w:r>
      <w:proofErr w:type="spellEnd"/>
      <w:r w:rsidR="00D92E7F">
        <w:rPr>
          <w:sz w:val="20"/>
          <w:szCs w:val="20"/>
        </w:rPr>
        <w:t>, São Paulo, p.588. Disponível em: &lt;https://books.google.com.br/books?hl=pt-BR&amp;lr=&amp;id=zoGhqp5yu9QC&amp;oi=fnd&amp;pg=PA19&amp;dq=consultoria+itil&amp;ots=L98IjK4mmr&amp;sig=kT0le2-m8ByH5KbPFtfabOQhEXQ#v=onepage&amp;q&amp;f=true</w:t>
      </w:r>
      <w:r w:rsidR="004D342A">
        <w:rPr>
          <w:sz w:val="20"/>
          <w:szCs w:val="20"/>
        </w:rPr>
        <w:t>&gt;.</w:t>
      </w:r>
      <w:r w:rsidR="00D92E7F">
        <w:rPr>
          <w:sz w:val="20"/>
          <w:szCs w:val="20"/>
        </w:rPr>
        <w:t xml:space="preserve"> </w:t>
      </w:r>
      <w:r w:rsidR="004D342A">
        <w:rPr>
          <w:sz w:val="20"/>
          <w:szCs w:val="20"/>
        </w:rPr>
        <w:t xml:space="preserve">Acesso em: 06 mar. </w:t>
      </w:r>
      <w:r w:rsidR="00D92E7F">
        <w:rPr>
          <w:sz w:val="20"/>
          <w:szCs w:val="20"/>
        </w:rPr>
        <w:t>2018.</w:t>
      </w:r>
    </w:p>
    <w:p w14:paraId="336E96AE" w14:textId="77777777" w:rsidR="0045329B" w:rsidRDefault="0045329B">
      <w:pPr>
        <w:pStyle w:val="Normal1"/>
        <w:spacing w:line="276" w:lineRule="auto"/>
        <w:rPr>
          <w:sz w:val="20"/>
          <w:szCs w:val="20"/>
        </w:rPr>
      </w:pPr>
    </w:p>
    <w:p w14:paraId="34976E93" w14:textId="77777777" w:rsidR="0045329B" w:rsidRDefault="00D92E7F">
      <w:pPr>
        <w:pStyle w:val="Normal1"/>
        <w:spacing w:line="276" w:lineRule="auto"/>
        <w:rPr>
          <w:sz w:val="20"/>
          <w:szCs w:val="20"/>
        </w:rPr>
      </w:pPr>
      <w:r>
        <w:rPr>
          <w:sz w:val="20"/>
          <w:szCs w:val="20"/>
        </w:rPr>
        <w:t xml:space="preserve">MENDES, Mayra Mendes. </w:t>
      </w:r>
      <w:r>
        <w:rPr>
          <w:b/>
          <w:sz w:val="20"/>
          <w:szCs w:val="20"/>
        </w:rPr>
        <w:t>Gerenciamento do atendimento de serviços de tecnologia da informação em uma cooperativa de crédito.</w:t>
      </w:r>
      <w:r>
        <w:rPr>
          <w:sz w:val="20"/>
          <w:szCs w:val="20"/>
        </w:rPr>
        <w:t xml:space="preserve"> Disponível em: &lt;https://www.monografias.ufop.br/bitstream/35400000/1660/6/MONOGRAFIA_Gerenciamento</w:t>
      </w:r>
      <w:r w:rsidR="004D342A">
        <w:rPr>
          <w:sz w:val="20"/>
          <w:szCs w:val="20"/>
        </w:rPr>
        <w:t xml:space="preserve">AtendimentoServi%C3%A7os.pdf&gt;.Acesso em: 07 mai. </w:t>
      </w:r>
      <w:r>
        <w:rPr>
          <w:sz w:val="20"/>
          <w:szCs w:val="20"/>
        </w:rPr>
        <w:t>2019.</w:t>
      </w:r>
    </w:p>
    <w:p w14:paraId="3079BD51" w14:textId="77777777" w:rsidR="0045329B" w:rsidRDefault="00D92E7F">
      <w:pPr>
        <w:pStyle w:val="Normal1"/>
        <w:spacing w:line="276" w:lineRule="auto"/>
        <w:rPr>
          <w:sz w:val="20"/>
          <w:szCs w:val="20"/>
        </w:rPr>
      </w:pPr>
      <w:r>
        <w:rPr>
          <w:sz w:val="20"/>
          <w:szCs w:val="20"/>
        </w:rPr>
        <w:t xml:space="preserve"> </w:t>
      </w:r>
    </w:p>
    <w:p w14:paraId="4960A3F1" w14:textId="77777777" w:rsidR="0045329B" w:rsidRDefault="00D92E7F">
      <w:pPr>
        <w:pStyle w:val="Normal1"/>
        <w:spacing w:line="276" w:lineRule="auto"/>
        <w:rPr>
          <w:sz w:val="20"/>
          <w:szCs w:val="20"/>
        </w:rPr>
      </w:pPr>
      <w:r>
        <w:rPr>
          <w:sz w:val="20"/>
          <w:szCs w:val="20"/>
        </w:rPr>
        <w:t xml:space="preserve">MICROSOFT. </w:t>
      </w:r>
      <w:r>
        <w:rPr>
          <w:b/>
          <w:sz w:val="20"/>
          <w:szCs w:val="20"/>
        </w:rPr>
        <w:t>SQL Server Data Tools.</w:t>
      </w:r>
      <w:r>
        <w:rPr>
          <w:sz w:val="20"/>
          <w:szCs w:val="20"/>
        </w:rPr>
        <w:t xml:space="preserve"> Disponível em: &lt;https://docs.microsoft.com/en-us/sql/ssdt/sql-server-dat</w:t>
      </w:r>
      <w:r w:rsidR="004D342A">
        <w:rPr>
          <w:sz w:val="20"/>
          <w:szCs w:val="20"/>
        </w:rPr>
        <w:t xml:space="preserve">a-tools?view=sql-server-2017&gt;. Acesso em: 19 mar. </w:t>
      </w:r>
      <w:r>
        <w:rPr>
          <w:sz w:val="20"/>
          <w:szCs w:val="20"/>
        </w:rPr>
        <w:t>2019.</w:t>
      </w:r>
    </w:p>
    <w:p w14:paraId="1B7E3463" w14:textId="77777777" w:rsidR="0045329B" w:rsidRDefault="0045329B">
      <w:pPr>
        <w:pStyle w:val="Normal1"/>
        <w:spacing w:line="276" w:lineRule="auto"/>
        <w:rPr>
          <w:sz w:val="20"/>
          <w:szCs w:val="20"/>
        </w:rPr>
      </w:pPr>
    </w:p>
    <w:p w14:paraId="53AC79A7" w14:textId="77777777" w:rsidR="0045329B" w:rsidRDefault="00D92E7F">
      <w:pPr>
        <w:pStyle w:val="Normal1"/>
        <w:spacing w:line="276" w:lineRule="auto"/>
        <w:rPr>
          <w:sz w:val="20"/>
          <w:szCs w:val="20"/>
        </w:rPr>
      </w:pPr>
      <w:r>
        <w:rPr>
          <w:sz w:val="20"/>
          <w:szCs w:val="20"/>
        </w:rPr>
        <w:t xml:space="preserve">OLIVEIRA, R. </w:t>
      </w:r>
      <w:r>
        <w:rPr>
          <w:b/>
          <w:sz w:val="20"/>
          <w:szCs w:val="20"/>
        </w:rPr>
        <w:t>Estudo comparativo da operação de serviço de TI em</w:t>
      </w:r>
      <w:r w:rsidR="004D342A">
        <w:rPr>
          <w:b/>
          <w:sz w:val="20"/>
          <w:szCs w:val="20"/>
        </w:rPr>
        <w:t xml:space="preserve"> </w:t>
      </w:r>
      <w:r>
        <w:rPr>
          <w:b/>
          <w:sz w:val="20"/>
          <w:szCs w:val="20"/>
        </w:rPr>
        <w:t>empresas do Vale do Taquari/RS, com base em ITIL V3.</w:t>
      </w:r>
      <w:r>
        <w:rPr>
          <w:sz w:val="20"/>
          <w:szCs w:val="20"/>
        </w:rPr>
        <w:t xml:space="preserve"> Disponível em: &lt;https://www.univates.br/bdu/bitstream/10737/1481/1/2016R</w:t>
      </w:r>
      <w:r w:rsidR="009445CA">
        <w:rPr>
          <w:sz w:val="20"/>
          <w:szCs w:val="20"/>
        </w:rPr>
        <w:t xml:space="preserve">afaelFerreiradeOliveira.pdf&gt;. Acesso em: 08 mai. </w:t>
      </w:r>
      <w:r>
        <w:rPr>
          <w:sz w:val="20"/>
          <w:szCs w:val="20"/>
        </w:rPr>
        <w:t>2019.</w:t>
      </w:r>
    </w:p>
    <w:p w14:paraId="1AC3E4A5" w14:textId="77777777" w:rsidR="0045329B" w:rsidRDefault="00D92E7F">
      <w:pPr>
        <w:pStyle w:val="Normal1"/>
        <w:spacing w:line="276" w:lineRule="auto"/>
        <w:rPr>
          <w:sz w:val="20"/>
          <w:szCs w:val="20"/>
        </w:rPr>
      </w:pPr>
      <w:r>
        <w:rPr>
          <w:sz w:val="20"/>
          <w:szCs w:val="20"/>
        </w:rPr>
        <w:t xml:space="preserve"> </w:t>
      </w:r>
    </w:p>
    <w:p w14:paraId="682753C6" w14:textId="77777777" w:rsidR="0045329B" w:rsidRDefault="00D92E7F">
      <w:pPr>
        <w:pStyle w:val="Normal1"/>
        <w:spacing w:line="276" w:lineRule="auto"/>
        <w:rPr>
          <w:sz w:val="20"/>
          <w:szCs w:val="20"/>
        </w:rPr>
      </w:pPr>
      <w:r>
        <w:rPr>
          <w:sz w:val="20"/>
          <w:szCs w:val="20"/>
        </w:rPr>
        <w:t xml:space="preserve">PALMA, Fernando. </w:t>
      </w:r>
      <w:r>
        <w:rPr>
          <w:b/>
          <w:sz w:val="20"/>
          <w:szCs w:val="20"/>
        </w:rPr>
        <w:t xml:space="preserve">Gerenciamento da Demanda da ITIL. </w:t>
      </w:r>
      <w:r>
        <w:rPr>
          <w:sz w:val="20"/>
          <w:szCs w:val="20"/>
        </w:rPr>
        <w:t>Disponível em: &lt;https://www.portalgsti.com.br/2016/10/gerenciamento-da-demanda-da-itil.html&gt;. A</w:t>
      </w:r>
      <w:r w:rsidR="009445CA">
        <w:rPr>
          <w:sz w:val="20"/>
          <w:szCs w:val="20"/>
        </w:rPr>
        <w:t xml:space="preserve">cesso em: 07 mai. </w:t>
      </w:r>
      <w:r>
        <w:rPr>
          <w:sz w:val="20"/>
          <w:szCs w:val="20"/>
        </w:rPr>
        <w:t>2019.</w:t>
      </w:r>
    </w:p>
    <w:p w14:paraId="47C5B7DC" w14:textId="77777777" w:rsidR="0045329B" w:rsidRDefault="0045329B">
      <w:pPr>
        <w:pStyle w:val="Normal1"/>
        <w:spacing w:line="276" w:lineRule="auto"/>
        <w:rPr>
          <w:sz w:val="20"/>
          <w:szCs w:val="20"/>
        </w:rPr>
      </w:pPr>
    </w:p>
    <w:p w14:paraId="072B401A" w14:textId="77777777" w:rsidR="0045329B" w:rsidRDefault="00D92E7F">
      <w:pPr>
        <w:pStyle w:val="Normal1"/>
        <w:spacing w:line="276" w:lineRule="auto"/>
        <w:rPr>
          <w:sz w:val="20"/>
          <w:szCs w:val="20"/>
        </w:rPr>
      </w:pPr>
      <w:r>
        <w:rPr>
          <w:sz w:val="20"/>
          <w:szCs w:val="20"/>
        </w:rPr>
        <w:t xml:space="preserve">PALMA, Fernando. </w:t>
      </w:r>
      <w:r>
        <w:rPr>
          <w:b/>
          <w:sz w:val="20"/>
          <w:szCs w:val="20"/>
        </w:rPr>
        <w:t>Gerenciamento de Portfólio de Serviços de TI da ITIL.</w:t>
      </w:r>
      <w:r>
        <w:rPr>
          <w:sz w:val="20"/>
          <w:szCs w:val="20"/>
        </w:rPr>
        <w:t xml:space="preserve"> Disponível em: &lt;https://www.portalgsti.com.br/2016/10/gerenciamento-de-portfolio-de</w:t>
      </w:r>
      <w:r w:rsidR="009445CA">
        <w:rPr>
          <w:sz w:val="20"/>
          <w:szCs w:val="20"/>
        </w:rPr>
        <w:t xml:space="preserve">-servicos-de-ti-da-itil.html&gt;.Acesso em: 07 mai. </w:t>
      </w:r>
      <w:r>
        <w:rPr>
          <w:sz w:val="20"/>
          <w:szCs w:val="20"/>
        </w:rPr>
        <w:t>2019.</w:t>
      </w:r>
    </w:p>
    <w:p w14:paraId="2146DC5F" w14:textId="77777777" w:rsidR="0045329B" w:rsidRDefault="0045329B">
      <w:pPr>
        <w:pStyle w:val="Normal1"/>
        <w:spacing w:line="276" w:lineRule="auto"/>
        <w:rPr>
          <w:sz w:val="20"/>
          <w:szCs w:val="20"/>
        </w:rPr>
      </w:pPr>
    </w:p>
    <w:p w14:paraId="3680E175" w14:textId="77777777" w:rsidR="0045329B" w:rsidRDefault="00D92E7F">
      <w:pPr>
        <w:pStyle w:val="Normal1"/>
        <w:spacing w:line="276" w:lineRule="auto"/>
        <w:rPr>
          <w:sz w:val="20"/>
          <w:szCs w:val="20"/>
        </w:rPr>
      </w:pPr>
      <w:r>
        <w:rPr>
          <w:sz w:val="20"/>
          <w:szCs w:val="20"/>
        </w:rPr>
        <w:t xml:space="preserve">PALMA, Fernando. </w:t>
      </w:r>
      <w:r>
        <w:rPr>
          <w:b/>
          <w:sz w:val="20"/>
          <w:szCs w:val="20"/>
        </w:rPr>
        <w:t>O Ciclo de Vida do Serviço de TI da ITIL.</w:t>
      </w:r>
      <w:r>
        <w:rPr>
          <w:sz w:val="20"/>
          <w:szCs w:val="20"/>
        </w:rPr>
        <w:t xml:space="preserve"> Disponível em: &lt;</w:t>
      </w:r>
      <w:hyperlink r:id="rId16">
        <w:r>
          <w:rPr>
            <w:sz w:val="20"/>
            <w:szCs w:val="20"/>
          </w:rPr>
          <w:t>https://www.portalgsti.com.br/2016/10/o-ciclo-de-vida-do-servico-de-ti-da-itil.html</w:t>
        </w:r>
      </w:hyperlink>
      <w:r w:rsidR="009445CA">
        <w:rPr>
          <w:sz w:val="20"/>
          <w:szCs w:val="20"/>
        </w:rPr>
        <w:t xml:space="preserve">&gt; .Acesso em: 01 abr. </w:t>
      </w:r>
      <w:r>
        <w:rPr>
          <w:sz w:val="20"/>
          <w:szCs w:val="20"/>
        </w:rPr>
        <w:t>2019.</w:t>
      </w:r>
    </w:p>
    <w:p w14:paraId="09562125" w14:textId="77777777" w:rsidR="0045329B" w:rsidRDefault="00D92E7F">
      <w:pPr>
        <w:pStyle w:val="Normal1"/>
        <w:spacing w:line="276" w:lineRule="auto"/>
        <w:rPr>
          <w:sz w:val="20"/>
          <w:szCs w:val="20"/>
        </w:rPr>
      </w:pPr>
      <w:r>
        <w:rPr>
          <w:sz w:val="20"/>
          <w:szCs w:val="20"/>
        </w:rPr>
        <w:t xml:space="preserve"> </w:t>
      </w:r>
    </w:p>
    <w:p w14:paraId="48424189" w14:textId="77777777" w:rsidR="0045329B" w:rsidRDefault="00D92E7F">
      <w:pPr>
        <w:pStyle w:val="Normal1"/>
        <w:spacing w:line="276" w:lineRule="auto"/>
        <w:rPr>
          <w:sz w:val="20"/>
          <w:szCs w:val="20"/>
        </w:rPr>
      </w:pPr>
      <w:r>
        <w:rPr>
          <w:sz w:val="20"/>
          <w:szCs w:val="20"/>
        </w:rPr>
        <w:t xml:space="preserve">PELLIZZONI, Leonardo. </w:t>
      </w:r>
      <w:r>
        <w:rPr>
          <w:b/>
          <w:sz w:val="20"/>
          <w:szCs w:val="20"/>
        </w:rPr>
        <w:t>Desenvolvimento de arquitetura de software reutilizável para implementação de aplicações em. net.</w:t>
      </w:r>
      <w:r>
        <w:rPr>
          <w:sz w:val="20"/>
          <w:szCs w:val="20"/>
        </w:rPr>
        <w:t xml:space="preserve"> Disponível em: &lt;https://repositorio.ucs.br/xmlui/bitstream/handle/11338/1552/TCC%20Leonardo%20Pellizzoni.pdf?sequence=1&amp;isAllo</w:t>
      </w:r>
      <w:r w:rsidR="009445CA">
        <w:rPr>
          <w:sz w:val="20"/>
          <w:szCs w:val="20"/>
        </w:rPr>
        <w:t xml:space="preserve">wed=y&gt;. Acesso em: 20 mai. </w:t>
      </w:r>
      <w:r>
        <w:rPr>
          <w:sz w:val="20"/>
          <w:szCs w:val="20"/>
        </w:rPr>
        <w:t>2019.</w:t>
      </w:r>
    </w:p>
    <w:p w14:paraId="30D90E58" w14:textId="77777777" w:rsidR="0045329B" w:rsidRDefault="0045329B">
      <w:pPr>
        <w:pStyle w:val="Normal1"/>
        <w:spacing w:line="276" w:lineRule="auto"/>
        <w:rPr>
          <w:sz w:val="20"/>
          <w:szCs w:val="20"/>
        </w:rPr>
      </w:pPr>
    </w:p>
    <w:p w14:paraId="12081D30" w14:textId="77777777" w:rsidR="005D1A3A" w:rsidRDefault="005D1A3A">
      <w:pPr>
        <w:pStyle w:val="Normal1"/>
        <w:spacing w:line="276" w:lineRule="auto"/>
        <w:rPr>
          <w:sz w:val="20"/>
          <w:szCs w:val="20"/>
        </w:rPr>
      </w:pPr>
      <w:r w:rsidRPr="005D1A3A">
        <w:rPr>
          <w:sz w:val="20"/>
          <w:szCs w:val="20"/>
        </w:rPr>
        <w:t xml:space="preserve">PESSOA, Cláudio Roberto Magalhães et al. </w:t>
      </w:r>
      <w:r w:rsidRPr="005D1A3A">
        <w:rPr>
          <w:b/>
          <w:sz w:val="20"/>
          <w:szCs w:val="20"/>
        </w:rPr>
        <w:t>Da gestão de TI à gestão de informação e tecnologia: uma abordagem teórica da evolução do conceito.</w:t>
      </w:r>
      <w:r w:rsidRPr="005D1A3A">
        <w:rPr>
          <w:sz w:val="20"/>
          <w:szCs w:val="20"/>
        </w:rPr>
        <w:t xml:space="preserve"> </w:t>
      </w:r>
      <w:r>
        <w:rPr>
          <w:sz w:val="20"/>
          <w:szCs w:val="20"/>
        </w:rPr>
        <w:t>Disponível em: &lt;</w:t>
      </w:r>
      <w:r w:rsidRPr="005D1A3A">
        <w:t xml:space="preserve"> </w:t>
      </w:r>
      <w:r w:rsidRPr="005D1A3A">
        <w:rPr>
          <w:sz w:val="20"/>
          <w:szCs w:val="20"/>
        </w:rPr>
        <w:t>http://200.20.0.78/rep</w:t>
      </w:r>
      <w:r w:rsidR="00851531">
        <w:rPr>
          <w:sz w:val="20"/>
          <w:szCs w:val="20"/>
        </w:rPr>
        <w:t>ositorios/handle/123456789/3333&gt;. Acesso</w:t>
      </w:r>
      <w:r>
        <w:rPr>
          <w:sz w:val="20"/>
          <w:szCs w:val="20"/>
        </w:rPr>
        <w:t xml:space="preserve"> </w:t>
      </w:r>
      <w:r w:rsidR="00C357C9">
        <w:rPr>
          <w:sz w:val="20"/>
          <w:szCs w:val="20"/>
        </w:rPr>
        <w:t xml:space="preserve">em: 29 mai. </w:t>
      </w:r>
      <w:r>
        <w:rPr>
          <w:sz w:val="20"/>
          <w:szCs w:val="20"/>
        </w:rPr>
        <w:t>2019</w:t>
      </w:r>
      <w:r w:rsidRPr="005D1A3A">
        <w:rPr>
          <w:sz w:val="20"/>
          <w:szCs w:val="20"/>
        </w:rPr>
        <w:t>.</w:t>
      </w:r>
    </w:p>
    <w:p w14:paraId="5C547E65" w14:textId="77777777" w:rsidR="005D1A3A" w:rsidRDefault="005D1A3A">
      <w:pPr>
        <w:pStyle w:val="Normal1"/>
        <w:spacing w:line="276" w:lineRule="auto"/>
        <w:rPr>
          <w:sz w:val="20"/>
          <w:szCs w:val="20"/>
        </w:rPr>
      </w:pPr>
    </w:p>
    <w:p w14:paraId="3081DF3B" w14:textId="77777777" w:rsidR="0045329B" w:rsidRDefault="00D92E7F">
      <w:pPr>
        <w:pStyle w:val="Normal1"/>
        <w:spacing w:line="276" w:lineRule="auto"/>
        <w:rPr>
          <w:sz w:val="20"/>
          <w:szCs w:val="20"/>
        </w:rPr>
      </w:pPr>
      <w:r w:rsidRPr="00C31D54">
        <w:rPr>
          <w:sz w:val="20"/>
          <w:szCs w:val="20"/>
        </w:rPr>
        <w:t xml:space="preserve">ROTH, Daniel; ANDERSON, Rick; LUTTIN, </w:t>
      </w:r>
      <w:proofErr w:type="spellStart"/>
      <w:r w:rsidRPr="00C31D54">
        <w:rPr>
          <w:sz w:val="20"/>
          <w:szCs w:val="20"/>
        </w:rPr>
        <w:t>Shaun</w:t>
      </w:r>
      <w:proofErr w:type="spellEnd"/>
      <w:r w:rsidRPr="00C31D54">
        <w:rPr>
          <w:sz w:val="20"/>
          <w:szCs w:val="20"/>
        </w:rPr>
        <w:t>.</w:t>
      </w:r>
      <w:r w:rsidRPr="00C31D54">
        <w:rPr>
          <w:b/>
          <w:sz w:val="20"/>
          <w:szCs w:val="20"/>
        </w:rPr>
        <w:t xml:space="preserve"> </w:t>
      </w:r>
      <w:r>
        <w:rPr>
          <w:b/>
          <w:sz w:val="20"/>
          <w:szCs w:val="20"/>
        </w:rPr>
        <w:t xml:space="preserve">Introdução ao ASP.NET Core. </w:t>
      </w:r>
      <w:r>
        <w:rPr>
          <w:sz w:val="20"/>
          <w:szCs w:val="20"/>
        </w:rPr>
        <w:t>Disponível em: &lt;</w:t>
      </w:r>
      <w:hyperlink r:id="rId17">
        <w:r>
          <w:rPr>
            <w:sz w:val="20"/>
            <w:szCs w:val="20"/>
          </w:rPr>
          <w:t>https://docs.microsoft.com/pt-br/aspnet/core/?view=aspnetcore-2.2</w:t>
        </w:r>
      </w:hyperlink>
      <w:r w:rsidR="00A75D41">
        <w:rPr>
          <w:sz w:val="20"/>
          <w:szCs w:val="20"/>
        </w:rPr>
        <w:t xml:space="preserve">&gt; .Acesso em: 20 mai. </w:t>
      </w:r>
      <w:r>
        <w:rPr>
          <w:sz w:val="20"/>
          <w:szCs w:val="20"/>
        </w:rPr>
        <w:t>2019.</w:t>
      </w:r>
    </w:p>
    <w:p w14:paraId="015D9B8D" w14:textId="77777777" w:rsidR="0045329B" w:rsidRDefault="0045329B">
      <w:pPr>
        <w:pStyle w:val="Normal1"/>
        <w:spacing w:line="276" w:lineRule="auto"/>
        <w:rPr>
          <w:sz w:val="20"/>
          <w:szCs w:val="20"/>
        </w:rPr>
      </w:pPr>
    </w:p>
    <w:p w14:paraId="7F251DC7" w14:textId="77777777" w:rsidR="0045329B" w:rsidRDefault="00D92E7F">
      <w:pPr>
        <w:pStyle w:val="Normal1"/>
        <w:spacing w:line="276" w:lineRule="auto"/>
        <w:rPr>
          <w:sz w:val="20"/>
          <w:szCs w:val="20"/>
        </w:rPr>
      </w:pPr>
      <w:r>
        <w:rPr>
          <w:sz w:val="20"/>
          <w:szCs w:val="20"/>
        </w:rPr>
        <w:t xml:space="preserve">SAADE, Joel. C# </w:t>
      </w:r>
      <w:r>
        <w:rPr>
          <w:b/>
          <w:sz w:val="20"/>
          <w:szCs w:val="20"/>
        </w:rPr>
        <w:t xml:space="preserve">Guia do programador. </w:t>
      </w:r>
      <w:r>
        <w:rPr>
          <w:sz w:val="20"/>
          <w:szCs w:val="20"/>
        </w:rPr>
        <w:t>2011. Disponível em: &lt;https://s3.novatec.com.br/capitulo</w:t>
      </w:r>
      <w:r w:rsidR="00072A33">
        <w:rPr>
          <w:sz w:val="20"/>
          <w:szCs w:val="20"/>
        </w:rPr>
        <w:t>s/capitulo-9788575222539.pdf</w:t>
      </w:r>
      <w:r w:rsidR="007F3C61">
        <w:rPr>
          <w:sz w:val="20"/>
          <w:szCs w:val="20"/>
        </w:rPr>
        <w:t>&gt;. Acesso</w:t>
      </w:r>
      <w:r w:rsidR="00072A33">
        <w:rPr>
          <w:sz w:val="20"/>
          <w:szCs w:val="20"/>
        </w:rPr>
        <w:t xml:space="preserve"> e</w:t>
      </w:r>
      <w:r w:rsidR="007F3C61">
        <w:rPr>
          <w:sz w:val="20"/>
          <w:szCs w:val="20"/>
        </w:rPr>
        <w:t>m</w:t>
      </w:r>
      <w:r w:rsidR="00072A33">
        <w:rPr>
          <w:sz w:val="20"/>
          <w:szCs w:val="20"/>
        </w:rPr>
        <w:t>:</w:t>
      </w:r>
      <w:r w:rsidR="007F3C61">
        <w:rPr>
          <w:sz w:val="20"/>
          <w:szCs w:val="20"/>
        </w:rPr>
        <w:t xml:space="preserve"> </w:t>
      </w:r>
      <w:r w:rsidR="00072A33">
        <w:rPr>
          <w:sz w:val="20"/>
          <w:szCs w:val="20"/>
        </w:rPr>
        <w:t xml:space="preserve">27 nov. </w:t>
      </w:r>
      <w:r>
        <w:rPr>
          <w:sz w:val="20"/>
          <w:szCs w:val="20"/>
        </w:rPr>
        <w:t>2018</w:t>
      </w:r>
      <w:r w:rsidR="007F3C61">
        <w:rPr>
          <w:sz w:val="20"/>
          <w:szCs w:val="20"/>
        </w:rPr>
        <w:t>.</w:t>
      </w:r>
    </w:p>
    <w:p w14:paraId="4DF445EB" w14:textId="77777777" w:rsidR="0045329B" w:rsidRDefault="00D92E7F">
      <w:pPr>
        <w:pStyle w:val="Normal1"/>
        <w:spacing w:line="276" w:lineRule="auto"/>
        <w:rPr>
          <w:sz w:val="20"/>
          <w:szCs w:val="20"/>
        </w:rPr>
      </w:pPr>
      <w:r>
        <w:rPr>
          <w:sz w:val="20"/>
          <w:szCs w:val="20"/>
        </w:rPr>
        <w:t xml:space="preserve"> </w:t>
      </w:r>
    </w:p>
    <w:p w14:paraId="2F2B19AB" w14:textId="77777777" w:rsidR="0045329B" w:rsidRDefault="00D92E7F">
      <w:pPr>
        <w:pStyle w:val="Normal1"/>
        <w:spacing w:line="276" w:lineRule="auto"/>
        <w:rPr>
          <w:sz w:val="20"/>
          <w:szCs w:val="20"/>
        </w:rPr>
      </w:pPr>
      <w:r>
        <w:rPr>
          <w:sz w:val="20"/>
          <w:szCs w:val="20"/>
        </w:rPr>
        <w:t xml:space="preserve">SILVA, A.C.V; SANTOS, J.C.C. </w:t>
      </w:r>
      <w:r>
        <w:rPr>
          <w:b/>
          <w:sz w:val="20"/>
          <w:szCs w:val="20"/>
        </w:rPr>
        <w:t xml:space="preserve">Governança de </w:t>
      </w:r>
      <w:r w:rsidR="007F3C61">
        <w:rPr>
          <w:b/>
          <w:sz w:val="20"/>
          <w:szCs w:val="20"/>
        </w:rPr>
        <w:t>TI: ITIL</w:t>
      </w:r>
      <w:r>
        <w:rPr>
          <w:b/>
          <w:sz w:val="20"/>
          <w:szCs w:val="20"/>
        </w:rPr>
        <w:t xml:space="preserve"> V3 no gerenciamento de serviços das empresas</w:t>
      </w:r>
      <w:r>
        <w:rPr>
          <w:sz w:val="20"/>
          <w:szCs w:val="20"/>
        </w:rPr>
        <w:t xml:space="preserve">. </w:t>
      </w:r>
      <w:r>
        <w:rPr>
          <w:sz w:val="20"/>
          <w:szCs w:val="20"/>
        </w:rPr>
        <w:lastRenderedPageBreak/>
        <w:t>Disponível em:&lt;http://revista.fasem.edu.br/index.php/fasemciencias</w:t>
      </w:r>
      <w:r w:rsidR="007F3C61">
        <w:rPr>
          <w:sz w:val="20"/>
          <w:szCs w:val="20"/>
        </w:rPr>
        <w:t xml:space="preserve">/article/view/40/64&gt;.Acesso em: 07 abr. </w:t>
      </w:r>
      <w:r>
        <w:rPr>
          <w:sz w:val="20"/>
          <w:szCs w:val="20"/>
        </w:rPr>
        <w:t>2018</w:t>
      </w:r>
      <w:r w:rsidR="007F3C61">
        <w:rPr>
          <w:sz w:val="20"/>
          <w:szCs w:val="20"/>
        </w:rPr>
        <w:t>.</w:t>
      </w:r>
    </w:p>
    <w:p w14:paraId="23849209" w14:textId="77777777" w:rsidR="0045329B" w:rsidRDefault="00D92E7F">
      <w:pPr>
        <w:pStyle w:val="Normal1"/>
        <w:spacing w:line="276" w:lineRule="auto"/>
        <w:rPr>
          <w:sz w:val="20"/>
          <w:szCs w:val="20"/>
        </w:rPr>
      </w:pPr>
      <w:r>
        <w:rPr>
          <w:sz w:val="20"/>
          <w:szCs w:val="20"/>
        </w:rPr>
        <w:t xml:space="preserve"> </w:t>
      </w:r>
    </w:p>
    <w:p w14:paraId="2FE31FBD" w14:textId="77777777" w:rsidR="0045329B" w:rsidRDefault="00D92E7F">
      <w:pPr>
        <w:pStyle w:val="Normal1"/>
        <w:spacing w:line="276" w:lineRule="auto"/>
        <w:rPr>
          <w:sz w:val="20"/>
          <w:szCs w:val="20"/>
        </w:rPr>
      </w:pPr>
      <w:r>
        <w:rPr>
          <w:sz w:val="20"/>
          <w:szCs w:val="20"/>
        </w:rPr>
        <w:t xml:space="preserve">SILVA, L. C. </w:t>
      </w:r>
      <w:r>
        <w:rPr>
          <w:b/>
          <w:sz w:val="20"/>
          <w:szCs w:val="20"/>
        </w:rPr>
        <w:t>Avaliação da maturidade IT: Uma abordagem prática</w:t>
      </w:r>
      <w:r>
        <w:rPr>
          <w:b/>
          <w:i/>
          <w:sz w:val="20"/>
          <w:szCs w:val="20"/>
        </w:rPr>
        <w:t>.</w:t>
      </w:r>
      <w:r>
        <w:rPr>
          <w:i/>
          <w:sz w:val="20"/>
          <w:szCs w:val="20"/>
        </w:rPr>
        <w:t xml:space="preserve"> </w:t>
      </w:r>
      <w:r>
        <w:rPr>
          <w:sz w:val="20"/>
          <w:szCs w:val="20"/>
        </w:rPr>
        <w:t>Disponível em: &lt;http://www.edilms.eti.br/uploads/file/orientacoes/GTIDF03%20-%20Lucinaldo%2</w:t>
      </w:r>
      <w:r w:rsidR="007F3C61">
        <w:rPr>
          <w:sz w:val="20"/>
          <w:szCs w:val="20"/>
        </w:rPr>
        <w:t xml:space="preserve">0Cirino.pdf&gt;. Acesso em: 06 mar. </w:t>
      </w:r>
      <w:r>
        <w:rPr>
          <w:sz w:val="20"/>
          <w:szCs w:val="20"/>
        </w:rPr>
        <w:t>2018.</w:t>
      </w:r>
    </w:p>
    <w:p w14:paraId="37455F8A" w14:textId="77777777" w:rsidR="0045329B" w:rsidRDefault="0045329B">
      <w:pPr>
        <w:pStyle w:val="Normal1"/>
        <w:spacing w:line="276" w:lineRule="auto"/>
        <w:rPr>
          <w:sz w:val="20"/>
          <w:szCs w:val="20"/>
        </w:rPr>
      </w:pPr>
    </w:p>
    <w:p w14:paraId="7B6F0EB7" w14:textId="77777777" w:rsidR="0045329B" w:rsidRDefault="00D92E7F">
      <w:pPr>
        <w:pStyle w:val="Normal1"/>
        <w:spacing w:line="276" w:lineRule="auto"/>
        <w:rPr>
          <w:sz w:val="20"/>
          <w:szCs w:val="20"/>
        </w:rPr>
      </w:pPr>
      <w:r>
        <w:rPr>
          <w:color w:val="222222"/>
          <w:sz w:val="20"/>
          <w:szCs w:val="20"/>
          <w:highlight w:val="white"/>
        </w:rPr>
        <w:t xml:space="preserve">TANAKA, Sergio A. et al. Estudo de ferramentas de modelagem em relação à UML 2.0. </w:t>
      </w:r>
      <w:r>
        <w:rPr>
          <w:b/>
          <w:color w:val="222222"/>
          <w:sz w:val="20"/>
          <w:szCs w:val="20"/>
          <w:highlight w:val="white"/>
        </w:rPr>
        <w:t>Revista Terra &amp; Cultura: Cadernos de Ensino e Pesquisa</w:t>
      </w:r>
      <w:r>
        <w:rPr>
          <w:color w:val="222222"/>
          <w:sz w:val="20"/>
          <w:szCs w:val="20"/>
          <w:highlight w:val="white"/>
        </w:rPr>
        <w:t>, v. 23, n. 45, p. 122-132, 2018.</w:t>
      </w:r>
    </w:p>
    <w:p w14:paraId="6E947DA9" w14:textId="77777777" w:rsidR="0045329B" w:rsidRDefault="0045329B">
      <w:pPr>
        <w:pStyle w:val="Normal1"/>
        <w:spacing w:line="276" w:lineRule="auto"/>
        <w:rPr>
          <w:sz w:val="20"/>
          <w:szCs w:val="20"/>
        </w:rPr>
      </w:pPr>
    </w:p>
    <w:p w14:paraId="51A5ADE9" w14:textId="77777777" w:rsidR="0045329B" w:rsidRDefault="00D92E7F">
      <w:pPr>
        <w:pStyle w:val="Normal1"/>
        <w:spacing w:line="276" w:lineRule="auto"/>
        <w:rPr>
          <w:sz w:val="20"/>
          <w:szCs w:val="20"/>
        </w:rPr>
      </w:pPr>
      <w:r>
        <w:rPr>
          <w:color w:val="222222"/>
          <w:sz w:val="20"/>
          <w:szCs w:val="20"/>
          <w:highlight w:val="white"/>
        </w:rPr>
        <w:t xml:space="preserve">TOMAZINI, Marcos; LOPES, Luiz Fernando Braga. </w:t>
      </w:r>
      <w:r>
        <w:rPr>
          <w:b/>
          <w:color w:val="222222"/>
          <w:sz w:val="20"/>
          <w:szCs w:val="20"/>
          <w:highlight w:val="white"/>
        </w:rPr>
        <w:t>Web design responsivo–</w:t>
      </w:r>
      <w:proofErr w:type="spellStart"/>
      <w:r>
        <w:rPr>
          <w:b/>
          <w:color w:val="222222"/>
          <w:sz w:val="20"/>
          <w:szCs w:val="20"/>
          <w:highlight w:val="white"/>
        </w:rPr>
        <w:t>Bootstrap</w:t>
      </w:r>
      <w:proofErr w:type="spellEnd"/>
      <w:r>
        <w:rPr>
          <w:color w:val="222222"/>
          <w:sz w:val="20"/>
          <w:szCs w:val="20"/>
          <w:highlight w:val="white"/>
        </w:rPr>
        <w:t>. Disponível em: &lt;http://fcv.edu.br/admin/assets/repositorio_arquivo/014529452</w:t>
      </w:r>
      <w:r w:rsidR="002C288A">
        <w:rPr>
          <w:color w:val="222222"/>
          <w:sz w:val="20"/>
          <w:szCs w:val="20"/>
          <w:highlight w:val="white"/>
        </w:rPr>
        <w:t xml:space="preserve">c44398122c6a634ad4e1755.pdf&gt;. Acesso em: 20 mai. </w:t>
      </w:r>
      <w:r>
        <w:rPr>
          <w:color w:val="222222"/>
          <w:sz w:val="20"/>
          <w:szCs w:val="20"/>
          <w:highlight w:val="white"/>
        </w:rPr>
        <w:t>2019.</w:t>
      </w:r>
    </w:p>
    <w:p w14:paraId="5C0DA4AD" w14:textId="77777777" w:rsidR="0045329B" w:rsidRDefault="0045329B">
      <w:pPr>
        <w:pStyle w:val="Normal1"/>
        <w:spacing w:line="276" w:lineRule="auto"/>
        <w:rPr>
          <w:sz w:val="20"/>
          <w:szCs w:val="20"/>
        </w:rPr>
      </w:pPr>
    </w:p>
    <w:p w14:paraId="1273634E" w14:textId="77777777" w:rsidR="0045329B" w:rsidRDefault="00D92E7F">
      <w:pPr>
        <w:pStyle w:val="Normal1"/>
        <w:spacing w:line="276" w:lineRule="auto"/>
        <w:rPr>
          <w:sz w:val="20"/>
          <w:szCs w:val="20"/>
        </w:rPr>
      </w:pPr>
      <w:r>
        <w:rPr>
          <w:sz w:val="20"/>
          <w:szCs w:val="20"/>
        </w:rPr>
        <w:t xml:space="preserve">WEBER, I. </w:t>
      </w:r>
      <w:r>
        <w:rPr>
          <w:b/>
          <w:sz w:val="20"/>
          <w:szCs w:val="20"/>
        </w:rPr>
        <w:t>Uma ferramenta para avaliação do grau de maturidade da governança de TI em relação às boas práticas estabelecidas pelo ITIL e pelo COBIT.</w:t>
      </w:r>
      <w:r>
        <w:rPr>
          <w:sz w:val="20"/>
          <w:szCs w:val="20"/>
        </w:rPr>
        <w:t xml:space="preserve"> Disponível em: &lt;https://www.univates.br/bdu/bitstream/1</w:t>
      </w:r>
      <w:r w:rsidR="00910ED7">
        <w:rPr>
          <w:sz w:val="20"/>
          <w:szCs w:val="20"/>
        </w:rPr>
        <w:t>0737/359/1/Ismael%20Weber.pdf</w:t>
      </w:r>
      <w:r w:rsidR="004973A2">
        <w:rPr>
          <w:sz w:val="20"/>
          <w:szCs w:val="20"/>
        </w:rPr>
        <w:t>&gt;. Acesso</w:t>
      </w:r>
      <w:r w:rsidR="00910ED7">
        <w:rPr>
          <w:sz w:val="20"/>
          <w:szCs w:val="20"/>
        </w:rPr>
        <w:t xml:space="preserve"> em: 06 mar. </w:t>
      </w:r>
      <w:r>
        <w:rPr>
          <w:sz w:val="20"/>
          <w:szCs w:val="20"/>
        </w:rPr>
        <w:t>2018.</w:t>
      </w:r>
      <w:r>
        <w:br w:type="page"/>
      </w:r>
    </w:p>
    <w:p w14:paraId="6FB574BC" w14:textId="77777777" w:rsidR="0045329B" w:rsidRDefault="0045329B">
      <w:pPr>
        <w:pStyle w:val="Normal1"/>
        <w:spacing w:line="276" w:lineRule="auto"/>
        <w:rPr>
          <w:sz w:val="20"/>
          <w:szCs w:val="20"/>
        </w:rPr>
      </w:pPr>
    </w:p>
    <w:p w14:paraId="1F4C427D" w14:textId="77777777" w:rsidR="0045329B" w:rsidRDefault="0045329B">
      <w:pPr>
        <w:pStyle w:val="Normal1"/>
        <w:spacing w:line="276" w:lineRule="auto"/>
        <w:rPr>
          <w:sz w:val="20"/>
          <w:szCs w:val="20"/>
        </w:rPr>
        <w:sectPr w:rsidR="0045329B">
          <w:type w:val="continuous"/>
          <w:pgSz w:w="11906" w:h="16838"/>
          <w:pgMar w:top="1418" w:right="1021" w:bottom="1418" w:left="1021" w:header="709" w:footer="709" w:gutter="0"/>
          <w:cols w:num="2" w:space="720" w:equalWidth="0">
            <w:col w:w="4762" w:space="340"/>
            <w:col w:w="4762" w:space="0"/>
          </w:cols>
        </w:sectPr>
      </w:pPr>
    </w:p>
    <w:p w14:paraId="4B9F885B" w14:textId="77777777" w:rsidR="0045329B" w:rsidRDefault="00D92E7F" w:rsidP="005C780A">
      <w:pPr>
        <w:pStyle w:val="Ttulo1"/>
      </w:pPr>
      <w:bookmarkStart w:id="22" w:name="_Toc10472172"/>
      <w:r>
        <w:t>APÊNDICE A</w:t>
      </w:r>
      <w:bookmarkEnd w:id="22"/>
    </w:p>
    <w:p w14:paraId="423EE7D2" w14:textId="77777777" w:rsidR="0045329B" w:rsidRDefault="0045329B">
      <w:pPr>
        <w:pStyle w:val="Normal1"/>
        <w:spacing w:line="276" w:lineRule="auto"/>
        <w:jc w:val="center"/>
        <w:rPr>
          <w:b/>
          <w:sz w:val="20"/>
          <w:szCs w:val="20"/>
        </w:rPr>
      </w:pPr>
    </w:p>
    <w:p w14:paraId="02503830" w14:textId="77777777" w:rsidR="0045329B" w:rsidRDefault="0045329B">
      <w:pPr>
        <w:pStyle w:val="Normal1"/>
        <w:spacing w:line="276" w:lineRule="auto"/>
        <w:jc w:val="center"/>
        <w:rPr>
          <w:b/>
          <w:sz w:val="20"/>
          <w:szCs w:val="20"/>
        </w:rPr>
      </w:pPr>
    </w:p>
    <w:p w14:paraId="5A883532" w14:textId="77777777" w:rsidR="0045329B" w:rsidRDefault="0045329B">
      <w:pPr>
        <w:pStyle w:val="Normal1"/>
        <w:spacing w:line="276" w:lineRule="auto"/>
        <w:jc w:val="center"/>
        <w:rPr>
          <w:b/>
          <w:sz w:val="20"/>
          <w:szCs w:val="20"/>
        </w:rPr>
      </w:pPr>
    </w:p>
    <w:p w14:paraId="366D9C01" w14:textId="77777777" w:rsidR="0045329B" w:rsidRDefault="00D92E7F">
      <w:pPr>
        <w:pStyle w:val="Normal1"/>
        <w:spacing w:line="276" w:lineRule="auto"/>
        <w:rPr>
          <w:sz w:val="20"/>
          <w:szCs w:val="20"/>
        </w:rPr>
      </w:pPr>
      <w:r>
        <w:rPr>
          <w:sz w:val="20"/>
          <w:szCs w:val="20"/>
        </w:rPr>
        <w:t>Figura 1: Tela inicial do sistema.</w:t>
      </w:r>
    </w:p>
    <w:p w14:paraId="26069EDE" w14:textId="77777777" w:rsidR="0045329B" w:rsidRDefault="00186824">
      <w:pPr>
        <w:pStyle w:val="Normal1"/>
        <w:spacing w:line="276" w:lineRule="auto"/>
        <w:rPr>
          <w:sz w:val="20"/>
          <w:szCs w:val="20"/>
        </w:rPr>
      </w:pPr>
      <w:r>
        <w:rPr>
          <w:noProof/>
          <w:sz w:val="20"/>
          <w:szCs w:val="20"/>
        </w:rPr>
        <w:drawing>
          <wp:inline distT="0" distB="0" distL="0" distR="0" wp14:anchorId="0D9699BE" wp14:editId="6594C971">
            <wp:extent cx="6263005" cy="2880995"/>
            <wp:effectExtent l="19050" t="19050" r="444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Tela (21).png"/>
                    <pic:cNvPicPr/>
                  </pic:nvPicPr>
                  <pic:blipFill>
                    <a:blip r:embed="rId18">
                      <a:extLst>
                        <a:ext uri="{28A0092B-C50C-407E-A947-70E740481C1C}">
                          <a14:useLocalDpi xmlns:a14="http://schemas.microsoft.com/office/drawing/2010/main" val="0"/>
                        </a:ext>
                      </a:extLst>
                    </a:blip>
                    <a:stretch>
                      <a:fillRect/>
                    </a:stretch>
                  </pic:blipFill>
                  <pic:spPr>
                    <a:xfrm>
                      <a:off x="0" y="0"/>
                      <a:ext cx="6263005" cy="2880995"/>
                    </a:xfrm>
                    <a:prstGeom prst="rect">
                      <a:avLst/>
                    </a:prstGeom>
                    <a:ln w="3175">
                      <a:solidFill>
                        <a:schemeClr val="tx1"/>
                      </a:solidFill>
                    </a:ln>
                  </pic:spPr>
                </pic:pic>
              </a:graphicData>
            </a:graphic>
          </wp:inline>
        </w:drawing>
      </w:r>
    </w:p>
    <w:p w14:paraId="67096F95" w14:textId="77777777" w:rsidR="0045329B" w:rsidRDefault="00D92E7F">
      <w:pPr>
        <w:pStyle w:val="Normal1"/>
        <w:spacing w:line="276" w:lineRule="auto"/>
        <w:rPr>
          <w:sz w:val="20"/>
          <w:szCs w:val="20"/>
        </w:rPr>
      </w:pPr>
      <w:r>
        <w:rPr>
          <w:sz w:val="20"/>
          <w:szCs w:val="20"/>
        </w:rPr>
        <w:t>Fonte: acervo dos autores.</w:t>
      </w:r>
    </w:p>
    <w:p w14:paraId="700A8529" w14:textId="77777777" w:rsidR="0045329B" w:rsidRDefault="00D92E7F" w:rsidP="005C780A">
      <w:pPr>
        <w:pStyle w:val="Ttulo1"/>
      </w:pPr>
      <w:r>
        <w:br w:type="page"/>
      </w:r>
      <w:bookmarkStart w:id="23" w:name="_Toc10472173"/>
      <w:r>
        <w:lastRenderedPageBreak/>
        <w:t>APÊNDICE B</w:t>
      </w:r>
      <w:bookmarkEnd w:id="23"/>
    </w:p>
    <w:p w14:paraId="5EA37486" w14:textId="77777777" w:rsidR="0045329B" w:rsidRDefault="0045329B">
      <w:pPr>
        <w:pStyle w:val="Normal1"/>
        <w:spacing w:line="276" w:lineRule="auto"/>
        <w:jc w:val="center"/>
        <w:rPr>
          <w:b/>
          <w:sz w:val="20"/>
          <w:szCs w:val="20"/>
        </w:rPr>
      </w:pPr>
    </w:p>
    <w:p w14:paraId="3FBA119F" w14:textId="77777777" w:rsidR="0045329B" w:rsidRDefault="0045329B">
      <w:pPr>
        <w:pStyle w:val="Normal1"/>
        <w:spacing w:line="276" w:lineRule="auto"/>
        <w:jc w:val="center"/>
        <w:rPr>
          <w:b/>
          <w:sz w:val="20"/>
          <w:szCs w:val="20"/>
        </w:rPr>
      </w:pPr>
    </w:p>
    <w:p w14:paraId="6042CB8A" w14:textId="77777777" w:rsidR="0045329B" w:rsidRDefault="0045329B">
      <w:pPr>
        <w:pStyle w:val="Normal1"/>
        <w:spacing w:line="276" w:lineRule="auto"/>
        <w:jc w:val="center"/>
        <w:rPr>
          <w:b/>
          <w:sz w:val="20"/>
          <w:szCs w:val="20"/>
        </w:rPr>
      </w:pPr>
    </w:p>
    <w:p w14:paraId="7D87519C" w14:textId="77777777" w:rsidR="0045329B" w:rsidRDefault="00D92E7F">
      <w:pPr>
        <w:pStyle w:val="Normal1"/>
        <w:spacing w:line="276" w:lineRule="auto"/>
        <w:rPr>
          <w:sz w:val="20"/>
          <w:szCs w:val="20"/>
        </w:rPr>
      </w:pPr>
      <w:r>
        <w:rPr>
          <w:sz w:val="20"/>
          <w:szCs w:val="20"/>
        </w:rPr>
        <w:t>Figura 2: Página de seleção das fases do ciclo de vida.</w:t>
      </w:r>
    </w:p>
    <w:p w14:paraId="4B52BDC4" w14:textId="77777777" w:rsidR="0045329B" w:rsidRDefault="00186824">
      <w:pPr>
        <w:pStyle w:val="Normal1"/>
        <w:spacing w:line="276" w:lineRule="auto"/>
        <w:rPr>
          <w:sz w:val="20"/>
          <w:szCs w:val="20"/>
        </w:rPr>
      </w:pPr>
      <w:r>
        <w:rPr>
          <w:noProof/>
          <w:sz w:val="20"/>
          <w:szCs w:val="20"/>
        </w:rPr>
        <w:drawing>
          <wp:inline distT="0" distB="0" distL="0" distR="0" wp14:anchorId="1800CF77" wp14:editId="7223D2C8">
            <wp:extent cx="6263005" cy="2871470"/>
            <wp:effectExtent l="19050" t="19050" r="4445" b="508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a de Tela (22).png"/>
                    <pic:cNvPicPr/>
                  </pic:nvPicPr>
                  <pic:blipFill>
                    <a:blip r:embed="rId19">
                      <a:extLst>
                        <a:ext uri="{28A0092B-C50C-407E-A947-70E740481C1C}">
                          <a14:useLocalDpi xmlns:a14="http://schemas.microsoft.com/office/drawing/2010/main" val="0"/>
                        </a:ext>
                      </a:extLst>
                    </a:blip>
                    <a:stretch>
                      <a:fillRect/>
                    </a:stretch>
                  </pic:blipFill>
                  <pic:spPr>
                    <a:xfrm>
                      <a:off x="0" y="0"/>
                      <a:ext cx="6263005" cy="2871470"/>
                    </a:xfrm>
                    <a:prstGeom prst="rect">
                      <a:avLst/>
                    </a:prstGeom>
                    <a:ln w="3175">
                      <a:solidFill>
                        <a:schemeClr val="tx1"/>
                      </a:solidFill>
                    </a:ln>
                  </pic:spPr>
                </pic:pic>
              </a:graphicData>
            </a:graphic>
          </wp:inline>
        </w:drawing>
      </w:r>
    </w:p>
    <w:p w14:paraId="4046D7DA" w14:textId="77777777" w:rsidR="0045329B" w:rsidRDefault="00D92E7F">
      <w:pPr>
        <w:pStyle w:val="Normal1"/>
        <w:spacing w:line="276" w:lineRule="auto"/>
        <w:rPr>
          <w:sz w:val="20"/>
          <w:szCs w:val="20"/>
        </w:rPr>
      </w:pPr>
      <w:r>
        <w:rPr>
          <w:sz w:val="20"/>
          <w:szCs w:val="20"/>
        </w:rPr>
        <w:t>Fonte: acervo dos autores.</w:t>
      </w:r>
    </w:p>
    <w:p w14:paraId="78D3A341" w14:textId="77777777" w:rsidR="0045329B" w:rsidRDefault="00D92E7F" w:rsidP="005C780A">
      <w:pPr>
        <w:pStyle w:val="Ttulo1"/>
      </w:pPr>
      <w:r>
        <w:br w:type="page"/>
      </w:r>
      <w:bookmarkStart w:id="24" w:name="_Toc10472174"/>
      <w:r>
        <w:lastRenderedPageBreak/>
        <w:t>APÊNDICE C</w:t>
      </w:r>
      <w:bookmarkEnd w:id="24"/>
    </w:p>
    <w:p w14:paraId="6A2AE561" w14:textId="77777777" w:rsidR="0045329B" w:rsidRDefault="0045329B">
      <w:pPr>
        <w:pStyle w:val="Normal1"/>
        <w:spacing w:line="276" w:lineRule="auto"/>
        <w:jc w:val="center"/>
        <w:rPr>
          <w:b/>
          <w:sz w:val="20"/>
          <w:szCs w:val="20"/>
        </w:rPr>
      </w:pPr>
    </w:p>
    <w:p w14:paraId="0AAEA251" w14:textId="77777777" w:rsidR="0045329B" w:rsidRDefault="0045329B">
      <w:pPr>
        <w:pStyle w:val="Normal1"/>
        <w:spacing w:line="276" w:lineRule="auto"/>
        <w:jc w:val="center"/>
        <w:rPr>
          <w:b/>
          <w:sz w:val="20"/>
          <w:szCs w:val="20"/>
        </w:rPr>
      </w:pPr>
    </w:p>
    <w:p w14:paraId="6895BC5D" w14:textId="77777777" w:rsidR="0045329B" w:rsidRDefault="0045329B">
      <w:pPr>
        <w:pStyle w:val="Normal1"/>
        <w:spacing w:line="276" w:lineRule="auto"/>
        <w:jc w:val="center"/>
        <w:rPr>
          <w:b/>
          <w:sz w:val="20"/>
          <w:szCs w:val="20"/>
        </w:rPr>
      </w:pPr>
    </w:p>
    <w:p w14:paraId="53682BCD" w14:textId="77777777" w:rsidR="0045329B" w:rsidRDefault="00D92E7F">
      <w:pPr>
        <w:pStyle w:val="Normal1"/>
        <w:spacing w:line="276" w:lineRule="auto"/>
        <w:rPr>
          <w:sz w:val="20"/>
          <w:szCs w:val="20"/>
        </w:rPr>
      </w:pPr>
      <w:r>
        <w:rPr>
          <w:sz w:val="20"/>
          <w:szCs w:val="20"/>
        </w:rPr>
        <w:t>Figura 3: Tela de escolha do tipo de gerenciamento.</w:t>
      </w:r>
    </w:p>
    <w:p w14:paraId="5E654684" w14:textId="77777777" w:rsidR="0045329B" w:rsidRDefault="00186824">
      <w:pPr>
        <w:pStyle w:val="Normal1"/>
        <w:spacing w:line="276" w:lineRule="auto"/>
        <w:rPr>
          <w:sz w:val="20"/>
          <w:szCs w:val="20"/>
        </w:rPr>
      </w:pPr>
      <w:r>
        <w:rPr>
          <w:noProof/>
          <w:sz w:val="20"/>
          <w:szCs w:val="20"/>
        </w:rPr>
        <w:drawing>
          <wp:inline distT="0" distB="0" distL="0" distR="0" wp14:anchorId="635A3897" wp14:editId="1739F577">
            <wp:extent cx="6263005" cy="2880995"/>
            <wp:effectExtent l="19050" t="19050" r="444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a de Tela (23).png"/>
                    <pic:cNvPicPr/>
                  </pic:nvPicPr>
                  <pic:blipFill>
                    <a:blip r:embed="rId20">
                      <a:extLst>
                        <a:ext uri="{28A0092B-C50C-407E-A947-70E740481C1C}">
                          <a14:useLocalDpi xmlns:a14="http://schemas.microsoft.com/office/drawing/2010/main" val="0"/>
                        </a:ext>
                      </a:extLst>
                    </a:blip>
                    <a:stretch>
                      <a:fillRect/>
                    </a:stretch>
                  </pic:blipFill>
                  <pic:spPr>
                    <a:xfrm>
                      <a:off x="0" y="0"/>
                      <a:ext cx="6263005" cy="2880995"/>
                    </a:xfrm>
                    <a:prstGeom prst="rect">
                      <a:avLst/>
                    </a:prstGeom>
                    <a:ln w="3175">
                      <a:solidFill>
                        <a:schemeClr val="tx1"/>
                      </a:solidFill>
                    </a:ln>
                  </pic:spPr>
                </pic:pic>
              </a:graphicData>
            </a:graphic>
          </wp:inline>
        </w:drawing>
      </w:r>
    </w:p>
    <w:p w14:paraId="6E4F1722" w14:textId="77777777" w:rsidR="0045329B" w:rsidRDefault="00D92E7F">
      <w:pPr>
        <w:pStyle w:val="Normal1"/>
        <w:spacing w:line="276" w:lineRule="auto"/>
        <w:rPr>
          <w:sz w:val="20"/>
          <w:szCs w:val="20"/>
        </w:rPr>
      </w:pPr>
      <w:r>
        <w:rPr>
          <w:sz w:val="20"/>
          <w:szCs w:val="20"/>
        </w:rPr>
        <w:t>Fonte: acervo dos autores.</w:t>
      </w:r>
      <w:r>
        <w:br w:type="page"/>
      </w:r>
    </w:p>
    <w:p w14:paraId="6B3763BE" w14:textId="77777777" w:rsidR="0045329B" w:rsidRDefault="00D92E7F" w:rsidP="005C780A">
      <w:pPr>
        <w:pStyle w:val="Ttulo1"/>
      </w:pPr>
      <w:bookmarkStart w:id="25" w:name="_Toc10472175"/>
      <w:r>
        <w:lastRenderedPageBreak/>
        <w:t>APÊNDICE D</w:t>
      </w:r>
      <w:bookmarkEnd w:id="25"/>
    </w:p>
    <w:p w14:paraId="46FA5B8C" w14:textId="77777777" w:rsidR="0045329B" w:rsidRDefault="0045329B">
      <w:pPr>
        <w:pStyle w:val="Normal1"/>
        <w:spacing w:line="276" w:lineRule="auto"/>
        <w:rPr>
          <w:sz w:val="20"/>
          <w:szCs w:val="20"/>
        </w:rPr>
      </w:pPr>
    </w:p>
    <w:p w14:paraId="0D96D684" w14:textId="77777777" w:rsidR="0045329B" w:rsidRDefault="0045329B">
      <w:pPr>
        <w:pStyle w:val="Normal1"/>
        <w:spacing w:line="276" w:lineRule="auto"/>
        <w:rPr>
          <w:sz w:val="20"/>
          <w:szCs w:val="20"/>
        </w:rPr>
      </w:pPr>
    </w:p>
    <w:p w14:paraId="6EB03275" w14:textId="77777777" w:rsidR="0045329B" w:rsidRDefault="0045329B">
      <w:pPr>
        <w:pStyle w:val="Normal1"/>
        <w:spacing w:line="276" w:lineRule="auto"/>
        <w:rPr>
          <w:sz w:val="20"/>
          <w:szCs w:val="20"/>
        </w:rPr>
      </w:pPr>
    </w:p>
    <w:p w14:paraId="788CAEA8" w14:textId="77777777" w:rsidR="0045329B" w:rsidRDefault="00D92E7F">
      <w:pPr>
        <w:pStyle w:val="Normal1"/>
        <w:spacing w:line="276" w:lineRule="auto"/>
        <w:rPr>
          <w:sz w:val="20"/>
          <w:szCs w:val="20"/>
        </w:rPr>
      </w:pPr>
      <w:r>
        <w:rPr>
          <w:sz w:val="20"/>
          <w:szCs w:val="20"/>
        </w:rPr>
        <w:t>Figura 4: Tela de inserção de nome da empresa.</w:t>
      </w:r>
    </w:p>
    <w:p w14:paraId="4815627C" w14:textId="77777777" w:rsidR="0045329B" w:rsidRDefault="00186824">
      <w:pPr>
        <w:pStyle w:val="Normal1"/>
        <w:spacing w:line="276" w:lineRule="auto"/>
        <w:rPr>
          <w:sz w:val="20"/>
          <w:szCs w:val="20"/>
        </w:rPr>
      </w:pPr>
      <w:r>
        <w:rPr>
          <w:noProof/>
          <w:sz w:val="20"/>
          <w:szCs w:val="20"/>
        </w:rPr>
        <w:drawing>
          <wp:inline distT="0" distB="0" distL="0" distR="0" wp14:anchorId="258A8C55" wp14:editId="4F3651E6">
            <wp:extent cx="6263005" cy="2864485"/>
            <wp:effectExtent l="19050" t="19050" r="444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a de Tela (32).png"/>
                    <pic:cNvPicPr/>
                  </pic:nvPicPr>
                  <pic:blipFill>
                    <a:blip r:embed="rId21">
                      <a:extLst>
                        <a:ext uri="{28A0092B-C50C-407E-A947-70E740481C1C}">
                          <a14:useLocalDpi xmlns:a14="http://schemas.microsoft.com/office/drawing/2010/main" val="0"/>
                        </a:ext>
                      </a:extLst>
                    </a:blip>
                    <a:stretch>
                      <a:fillRect/>
                    </a:stretch>
                  </pic:blipFill>
                  <pic:spPr>
                    <a:xfrm>
                      <a:off x="0" y="0"/>
                      <a:ext cx="6263005" cy="2864485"/>
                    </a:xfrm>
                    <a:prstGeom prst="rect">
                      <a:avLst/>
                    </a:prstGeom>
                    <a:ln w="3175">
                      <a:solidFill>
                        <a:schemeClr val="tx1"/>
                      </a:solidFill>
                    </a:ln>
                  </pic:spPr>
                </pic:pic>
              </a:graphicData>
            </a:graphic>
          </wp:inline>
        </w:drawing>
      </w:r>
    </w:p>
    <w:p w14:paraId="777007D5" w14:textId="77777777" w:rsidR="0045329B" w:rsidRDefault="00D92E7F">
      <w:pPr>
        <w:pStyle w:val="Normal1"/>
        <w:spacing w:line="276" w:lineRule="auto"/>
        <w:rPr>
          <w:sz w:val="20"/>
          <w:szCs w:val="20"/>
        </w:rPr>
      </w:pPr>
      <w:r>
        <w:rPr>
          <w:sz w:val="20"/>
          <w:szCs w:val="20"/>
        </w:rPr>
        <w:t>Fonte: acervo dos autores.</w:t>
      </w:r>
      <w:r>
        <w:br w:type="page"/>
      </w:r>
    </w:p>
    <w:p w14:paraId="1FE97FF3" w14:textId="77777777" w:rsidR="0045329B" w:rsidRDefault="00D92E7F" w:rsidP="005C780A">
      <w:pPr>
        <w:pStyle w:val="Ttulo1"/>
      </w:pPr>
      <w:bookmarkStart w:id="26" w:name="_Toc10472176"/>
      <w:r>
        <w:lastRenderedPageBreak/>
        <w:t>APÊNDICE E</w:t>
      </w:r>
      <w:bookmarkEnd w:id="26"/>
    </w:p>
    <w:p w14:paraId="5BDE53A2" w14:textId="77777777" w:rsidR="0045329B" w:rsidRDefault="0045329B">
      <w:pPr>
        <w:pStyle w:val="Normal1"/>
        <w:spacing w:line="276" w:lineRule="auto"/>
        <w:rPr>
          <w:b/>
          <w:sz w:val="20"/>
          <w:szCs w:val="20"/>
        </w:rPr>
      </w:pPr>
    </w:p>
    <w:p w14:paraId="7B3B5D31" w14:textId="77777777" w:rsidR="0045329B" w:rsidRDefault="0045329B">
      <w:pPr>
        <w:pStyle w:val="Normal1"/>
        <w:spacing w:line="276" w:lineRule="auto"/>
        <w:rPr>
          <w:b/>
          <w:sz w:val="20"/>
          <w:szCs w:val="20"/>
        </w:rPr>
      </w:pPr>
    </w:p>
    <w:p w14:paraId="2F731DDC" w14:textId="77777777" w:rsidR="0045329B" w:rsidRDefault="0045329B">
      <w:pPr>
        <w:pStyle w:val="Normal1"/>
        <w:spacing w:line="276" w:lineRule="auto"/>
        <w:rPr>
          <w:b/>
          <w:sz w:val="20"/>
          <w:szCs w:val="20"/>
        </w:rPr>
      </w:pPr>
    </w:p>
    <w:p w14:paraId="6E4D3A8A" w14:textId="77777777" w:rsidR="0045329B" w:rsidRDefault="00D92E7F">
      <w:pPr>
        <w:pStyle w:val="Normal1"/>
        <w:spacing w:line="276" w:lineRule="auto"/>
        <w:rPr>
          <w:sz w:val="20"/>
          <w:szCs w:val="20"/>
        </w:rPr>
      </w:pPr>
      <w:r>
        <w:rPr>
          <w:sz w:val="20"/>
          <w:szCs w:val="20"/>
        </w:rPr>
        <w:t>Figura 5: Tela de questões que estão sendo respondidas.</w:t>
      </w:r>
    </w:p>
    <w:p w14:paraId="23CBB420" w14:textId="77777777" w:rsidR="0045329B" w:rsidRDefault="00186824">
      <w:pPr>
        <w:pStyle w:val="Normal1"/>
        <w:spacing w:line="276" w:lineRule="auto"/>
        <w:rPr>
          <w:sz w:val="20"/>
          <w:szCs w:val="20"/>
        </w:rPr>
      </w:pPr>
      <w:r>
        <w:rPr>
          <w:noProof/>
          <w:sz w:val="20"/>
          <w:szCs w:val="20"/>
        </w:rPr>
        <w:drawing>
          <wp:inline distT="0" distB="0" distL="0" distR="0" wp14:anchorId="71F0C728" wp14:editId="3D154B3C">
            <wp:extent cx="6263005" cy="2867025"/>
            <wp:effectExtent l="19050" t="19050" r="4445"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a de Tela (25).png"/>
                    <pic:cNvPicPr/>
                  </pic:nvPicPr>
                  <pic:blipFill>
                    <a:blip r:embed="rId22">
                      <a:extLst>
                        <a:ext uri="{28A0092B-C50C-407E-A947-70E740481C1C}">
                          <a14:useLocalDpi xmlns:a14="http://schemas.microsoft.com/office/drawing/2010/main" val="0"/>
                        </a:ext>
                      </a:extLst>
                    </a:blip>
                    <a:stretch>
                      <a:fillRect/>
                    </a:stretch>
                  </pic:blipFill>
                  <pic:spPr>
                    <a:xfrm>
                      <a:off x="0" y="0"/>
                      <a:ext cx="6263005" cy="2867025"/>
                    </a:xfrm>
                    <a:prstGeom prst="rect">
                      <a:avLst/>
                    </a:prstGeom>
                    <a:ln w="3175">
                      <a:solidFill>
                        <a:schemeClr val="tx1"/>
                      </a:solidFill>
                    </a:ln>
                  </pic:spPr>
                </pic:pic>
              </a:graphicData>
            </a:graphic>
          </wp:inline>
        </w:drawing>
      </w:r>
    </w:p>
    <w:p w14:paraId="58C9E9FE" w14:textId="77777777" w:rsidR="0045329B" w:rsidRDefault="00D92E7F">
      <w:pPr>
        <w:pStyle w:val="Normal1"/>
        <w:spacing w:line="276" w:lineRule="auto"/>
        <w:rPr>
          <w:sz w:val="20"/>
          <w:szCs w:val="20"/>
        </w:rPr>
      </w:pPr>
      <w:r>
        <w:rPr>
          <w:sz w:val="20"/>
          <w:szCs w:val="20"/>
        </w:rPr>
        <w:t>Fonte: acervo dos autores.</w:t>
      </w:r>
      <w:r>
        <w:br w:type="page"/>
      </w:r>
    </w:p>
    <w:p w14:paraId="5522A238" w14:textId="77777777" w:rsidR="0045329B" w:rsidRDefault="00D92E7F" w:rsidP="005C780A">
      <w:pPr>
        <w:pStyle w:val="Ttulo1"/>
      </w:pPr>
      <w:bookmarkStart w:id="27" w:name="_Toc10472177"/>
      <w:r>
        <w:lastRenderedPageBreak/>
        <w:t>APÊNDICE F</w:t>
      </w:r>
      <w:bookmarkEnd w:id="27"/>
    </w:p>
    <w:p w14:paraId="2CB61C3B" w14:textId="77777777" w:rsidR="0045329B" w:rsidRDefault="0045329B">
      <w:pPr>
        <w:pStyle w:val="Normal1"/>
        <w:spacing w:line="276" w:lineRule="auto"/>
        <w:jc w:val="center"/>
        <w:rPr>
          <w:sz w:val="20"/>
          <w:szCs w:val="20"/>
        </w:rPr>
      </w:pPr>
    </w:p>
    <w:p w14:paraId="6165CDC3" w14:textId="77777777" w:rsidR="0045329B" w:rsidRDefault="0045329B">
      <w:pPr>
        <w:pStyle w:val="Normal1"/>
        <w:spacing w:line="276" w:lineRule="auto"/>
        <w:jc w:val="center"/>
        <w:rPr>
          <w:sz w:val="20"/>
          <w:szCs w:val="20"/>
        </w:rPr>
      </w:pPr>
    </w:p>
    <w:p w14:paraId="199392E0" w14:textId="77777777" w:rsidR="0045329B" w:rsidRDefault="0045329B">
      <w:pPr>
        <w:pStyle w:val="Normal1"/>
        <w:spacing w:line="276" w:lineRule="auto"/>
        <w:jc w:val="center"/>
        <w:rPr>
          <w:sz w:val="20"/>
          <w:szCs w:val="20"/>
        </w:rPr>
      </w:pPr>
    </w:p>
    <w:p w14:paraId="4D765778" w14:textId="77777777" w:rsidR="0045329B" w:rsidRDefault="00D92E7F">
      <w:pPr>
        <w:pStyle w:val="Normal1"/>
        <w:spacing w:line="276" w:lineRule="auto"/>
        <w:rPr>
          <w:sz w:val="20"/>
          <w:szCs w:val="20"/>
        </w:rPr>
      </w:pPr>
      <w:r>
        <w:rPr>
          <w:sz w:val="20"/>
          <w:szCs w:val="20"/>
        </w:rPr>
        <w:t>Figura 6: Tela de resultado da maturidade alcançada.</w:t>
      </w:r>
    </w:p>
    <w:p w14:paraId="500663FE" w14:textId="77777777" w:rsidR="0045329B" w:rsidRDefault="00186824">
      <w:pPr>
        <w:pStyle w:val="Normal1"/>
        <w:spacing w:line="276" w:lineRule="auto"/>
        <w:rPr>
          <w:sz w:val="20"/>
          <w:szCs w:val="20"/>
        </w:rPr>
      </w:pPr>
      <w:r>
        <w:rPr>
          <w:noProof/>
          <w:sz w:val="20"/>
          <w:szCs w:val="20"/>
        </w:rPr>
        <w:drawing>
          <wp:inline distT="0" distB="0" distL="0" distR="0" wp14:anchorId="74F40074" wp14:editId="4FC2632B">
            <wp:extent cx="6263005" cy="2832100"/>
            <wp:effectExtent l="19050" t="19050" r="4445" b="63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a de Tela (30).png"/>
                    <pic:cNvPicPr/>
                  </pic:nvPicPr>
                  <pic:blipFill>
                    <a:blip r:embed="rId23">
                      <a:extLst>
                        <a:ext uri="{28A0092B-C50C-407E-A947-70E740481C1C}">
                          <a14:useLocalDpi xmlns:a14="http://schemas.microsoft.com/office/drawing/2010/main" val="0"/>
                        </a:ext>
                      </a:extLst>
                    </a:blip>
                    <a:stretch>
                      <a:fillRect/>
                    </a:stretch>
                  </pic:blipFill>
                  <pic:spPr>
                    <a:xfrm>
                      <a:off x="0" y="0"/>
                      <a:ext cx="6263005" cy="2832100"/>
                    </a:xfrm>
                    <a:prstGeom prst="rect">
                      <a:avLst/>
                    </a:prstGeom>
                    <a:ln w="3175">
                      <a:solidFill>
                        <a:schemeClr val="tx1"/>
                      </a:solidFill>
                    </a:ln>
                  </pic:spPr>
                </pic:pic>
              </a:graphicData>
            </a:graphic>
          </wp:inline>
        </w:drawing>
      </w:r>
    </w:p>
    <w:p w14:paraId="2036F977" w14:textId="77777777" w:rsidR="0045329B" w:rsidRDefault="00D92E7F">
      <w:pPr>
        <w:pStyle w:val="Normal1"/>
        <w:spacing w:line="276" w:lineRule="auto"/>
        <w:rPr>
          <w:sz w:val="20"/>
          <w:szCs w:val="20"/>
        </w:rPr>
      </w:pPr>
      <w:r>
        <w:rPr>
          <w:sz w:val="20"/>
          <w:szCs w:val="20"/>
        </w:rPr>
        <w:t>Fonte: acervo dos autores.</w:t>
      </w:r>
    </w:p>
    <w:p w14:paraId="780D1D2C" w14:textId="77777777" w:rsidR="0045329B" w:rsidRDefault="00D92E7F">
      <w:pPr>
        <w:pStyle w:val="Normal1"/>
        <w:spacing w:line="276" w:lineRule="auto"/>
        <w:rPr>
          <w:sz w:val="20"/>
          <w:szCs w:val="20"/>
        </w:rPr>
      </w:pPr>
      <w:r>
        <w:br w:type="page"/>
      </w:r>
    </w:p>
    <w:p w14:paraId="2A25241C" w14:textId="77777777" w:rsidR="0045329B" w:rsidRDefault="00D92E7F" w:rsidP="005C780A">
      <w:pPr>
        <w:pStyle w:val="Ttulo1"/>
      </w:pPr>
      <w:bookmarkStart w:id="28" w:name="_Toc10472178"/>
      <w:r>
        <w:lastRenderedPageBreak/>
        <w:t>APÊNDICE G</w:t>
      </w:r>
      <w:bookmarkEnd w:id="28"/>
    </w:p>
    <w:p w14:paraId="6DE71B37" w14:textId="77777777" w:rsidR="0045329B" w:rsidRDefault="0045329B">
      <w:pPr>
        <w:pStyle w:val="Normal1"/>
        <w:spacing w:line="276" w:lineRule="auto"/>
        <w:jc w:val="center"/>
        <w:rPr>
          <w:b/>
          <w:sz w:val="20"/>
          <w:szCs w:val="20"/>
        </w:rPr>
      </w:pPr>
    </w:p>
    <w:p w14:paraId="560BED0A" w14:textId="77777777" w:rsidR="0045329B" w:rsidRDefault="0045329B">
      <w:pPr>
        <w:pStyle w:val="Normal1"/>
        <w:spacing w:line="276" w:lineRule="auto"/>
        <w:jc w:val="center"/>
        <w:rPr>
          <w:b/>
          <w:sz w:val="20"/>
          <w:szCs w:val="20"/>
        </w:rPr>
      </w:pPr>
    </w:p>
    <w:p w14:paraId="22916D61" w14:textId="77777777" w:rsidR="0045329B" w:rsidRDefault="0045329B">
      <w:pPr>
        <w:pStyle w:val="Normal1"/>
        <w:spacing w:line="276" w:lineRule="auto"/>
        <w:jc w:val="center"/>
        <w:rPr>
          <w:b/>
          <w:sz w:val="20"/>
          <w:szCs w:val="20"/>
        </w:rPr>
      </w:pPr>
    </w:p>
    <w:p w14:paraId="401DE66C" w14:textId="77777777" w:rsidR="0045329B" w:rsidRDefault="00D92E7F">
      <w:pPr>
        <w:pStyle w:val="Normal1"/>
        <w:spacing w:line="276" w:lineRule="auto"/>
        <w:rPr>
          <w:sz w:val="20"/>
          <w:szCs w:val="20"/>
        </w:rPr>
      </w:pPr>
      <w:r>
        <w:rPr>
          <w:sz w:val="20"/>
          <w:szCs w:val="20"/>
        </w:rPr>
        <w:t>Figura 7: Página de busca das empresas avaliadas.</w:t>
      </w:r>
    </w:p>
    <w:p w14:paraId="561DA250" w14:textId="77777777" w:rsidR="0045329B" w:rsidRDefault="00186824">
      <w:pPr>
        <w:pStyle w:val="Normal1"/>
        <w:spacing w:line="276" w:lineRule="auto"/>
        <w:rPr>
          <w:sz w:val="20"/>
          <w:szCs w:val="20"/>
        </w:rPr>
      </w:pPr>
      <w:r>
        <w:rPr>
          <w:noProof/>
          <w:sz w:val="20"/>
          <w:szCs w:val="20"/>
        </w:rPr>
        <w:drawing>
          <wp:inline distT="0" distB="0" distL="0" distR="0" wp14:anchorId="6F633A5E" wp14:editId="4CC30881">
            <wp:extent cx="6263005" cy="2871470"/>
            <wp:effectExtent l="19050" t="19050" r="4445" b="508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a de Tela (35).png"/>
                    <pic:cNvPicPr/>
                  </pic:nvPicPr>
                  <pic:blipFill>
                    <a:blip r:embed="rId24">
                      <a:extLst>
                        <a:ext uri="{28A0092B-C50C-407E-A947-70E740481C1C}">
                          <a14:useLocalDpi xmlns:a14="http://schemas.microsoft.com/office/drawing/2010/main" val="0"/>
                        </a:ext>
                      </a:extLst>
                    </a:blip>
                    <a:stretch>
                      <a:fillRect/>
                    </a:stretch>
                  </pic:blipFill>
                  <pic:spPr>
                    <a:xfrm>
                      <a:off x="0" y="0"/>
                      <a:ext cx="6263005" cy="2871470"/>
                    </a:xfrm>
                    <a:prstGeom prst="rect">
                      <a:avLst/>
                    </a:prstGeom>
                    <a:ln w="3175">
                      <a:solidFill>
                        <a:schemeClr val="tx1"/>
                      </a:solidFill>
                    </a:ln>
                  </pic:spPr>
                </pic:pic>
              </a:graphicData>
            </a:graphic>
          </wp:inline>
        </w:drawing>
      </w:r>
    </w:p>
    <w:p w14:paraId="49E8B22D" w14:textId="77777777" w:rsidR="0045329B" w:rsidRDefault="00D92E7F">
      <w:pPr>
        <w:pStyle w:val="Normal1"/>
        <w:spacing w:line="276" w:lineRule="auto"/>
        <w:rPr>
          <w:sz w:val="20"/>
          <w:szCs w:val="20"/>
        </w:rPr>
      </w:pPr>
      <w:r>
        <w:rPr>
          <w:sz w:val="20"/>
          <w:szCs w:val="20"/>
        </w:rPr>
        <w:t>Fonte: acervo dos autores.</w:t>
      </w:r>
      <w:r>
        <w:br w:type="page"/>
      </w:r>
    </w:p>
    <w:p w14:paraId="7F083D63" w14:textId="77777777" w:rsidR="0045329B" w:rsidRDefault="00D92E7F" w:rsidP="005C780A">
      <w:pPr>
        <w:pStyle w:val="Ttulo1"/>
      </w:pPr>
      <w:bookmarkStart w:id="29" w:name="_Toc10472179"/>
      <w:r>
        <w:lastRenderedPageBreak/>
        <w:t>APÊNDICE H</w:t>
      </w:r>
      <w:bookmarkEnd w:id="29"/>
    </w:p>
    <w:p w14:paraId="7A280562" w14:textId="77777777" w:rsidR="0045329B" w:rsidRDefault="0045329B">
      <w:pPr>
        <w:pStyle w:val="Normal1"/>
        <w:spacing w:line="276" w:lineRule="auto"/>
        <w:jc w:val="center"/>
        <w:rPr>
          <w:sz w:val="20"/>
          <w:szCs w:val="20"/>
        </w:rPr>
      </w:pPr>
    </w:p>
    <w:p w14:paraId="6C637BB5" w14:textId="77777777" w:rsidR="0045329B" w:rsidRDefault="0045329B">
      <w:pPr>
        <w:pStyle w:val="Normal1"/>
        <w:spacing w:line="276" w:lineRule="auto"/>
        <w:jc w:val="center"/>
        <w:rPr>
          <w:sz w:val="20"/>
          <w:szCs w:val="20"/>
        </w:rPr>
      </w:pPr>
    </w:p>
    <w:p w14:paraId="3F8DB961" w14:textId="77777777" w:rsidR="0045329B" w:rsidRDefault="0045329B">
      <w:pPr>
        <w:pStyle w:val="Normal1"/>
        <w:spacing w:line="276" w:lineRule="auto"/>
        <w:jc w:val="center"/>
        <w:rPr>
          <w:sz w:val="20"/>
          <w:szCs w:val="20"/>
        </w:rPr>
      </w:pPr>
    </w:p>
    <w:p w14:paraId="3B0D83FF" w14:textId="77777777" w:rsidR="0045329B" w:rsidRDefault="00D92E7F">
      <w:pPr>
        <w:pStyle w:val="Normal1"/>
        <w:spacing w:line="276" w:lineRule="auto"/>
        <w:rPr>
          <w:sz w:val="20"/>
          <w:szCs w:val="20"/>
        </w:rPr>
      </w:pPr>
      <w:r>
        <w:rPr>
          <w:sz w:val="20"/>
          <w:szCs w:val="20"/>
        </w:rPr>
        <w:t>Figura 8: Página de busca de perguntas por gerenciamento.</w:t>
      </w:r>
    </w:p>
    <w:p w14:paraId="108DAB9A" w14:textId="77777777" w:rsidR="0045329B" w:rsidRDefault="00186824">
      <w:pPr>
        <w:pStyle w:val="Normal1"/>
        <w:spacing w:line="276" w:lineRule="auto"/>
        <w:rPr>
          <w:sz w:val="20"/>
          <w:szCs w:val="20"/>
        </w:rPr>
      </w:pPr>
      <w:r>
        <w:rPr>
          <w:noProof/>
          <w:sz w:val="20"/>
          <w:szCs w:val="20"/>
        </w:rPr>
        <w:drawing>
          <wp:inline distT="0" distB="0" distL="0" distR="0" wp14:anchorId="712A2D7A" wp14:editId="7A1FA1BF">
            <wp:extent cx="6263005" cy="2877185"/>
            <wp:effectExtent l="19050" t="19050" r="444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a de Tela (27).png"/>
                    <pic:cNvPicPr/>
                  </pic:nvPicPr>
                  <pic:blipFill>
                    <a:blip r:embed="rId25">
                      <a:extLst>
                        <a:ext uri="{28A0092B-C50C-407E-A947-70E740481C1C}">
                          <a14:useLocalDpi xmlns:a14="http://schemas.microsoft.com/office/drawing/2010/main" val="0"/>
                        </a:ext>
                      </a:extLst>
                    </a:blip>
                    <a:stretch>
                      <a:fillRect/>
                    </a:stretch>
                  </pic:blipFill>
                  <pic:spPr>
                    <a:xfrm>
                      <a:off x="0" y="0"/>
                      <a:ext cx="6263005" cy="2877185"/>
                    </a:xfrm>
                    <a:prstGeom prst="rect">
                      <a:avLst/>
                    </a:prstGeom>
                    <a:ln w="3175">
                      <a:solidFill>
                        <a:schemeClr val="tx1"/>
                      </a:solidFill>
                    </a:ln>
                  </pic:spPr>
                </pic:pic>
              </a:graphicData>
            </a:graphic>
          </wp:inline>
        </w:drawing>
      </w:r>
    </w:p>
    <w:p w14:paraId="25FCDDE2" w14:textId="77777777" w:rsidR="0045329B" w:rsidRDefault="00D92E7F">
      <w:pPr>
        <w:pStyle w:val="Normal1"/>
        <w:spacing w:line="276" w:lineRule="auto"/>
        <w:rPr>
          <w:sz w:val="20"/>
          <w:szCs w:val="20"/>
        </w:rPr>
      </w:pPr>
      <w:r>
        <w:rPr>
          <w:sz w:val="20"/>
          <w:szCs w:val="20"/>
        </w:rPr>
        <w:t>Fonte: acervo dos autores.</w:t>
      </w:r>
    </w:p>
    <w:p w14:paraId="70D8DDA6" w14:textId="77777777" w:rsidR="009A4C33" w:rsidRDefault="009A4C33">
      <w:pPr>
        <w:rPr>
          <w:sz w:val="20"/>
          <w:szCs w:val="20"/>
        </w:rPr>
      </w:pPr>
      <w:r>
        <w:rPr>
          <w:sz w:val="20"/>
          <w:szCs w:val="20"/>
        </w:rPr>
        <w:br w:type="page"/>
      </w:r>
    </w:p>
    <w:p w14:paraId="4ABC0C23" w14:textId="77777777" w:rsidR="0045329B" w:rsidRDefault="009A4C33" w:rsidP="009A4C33">
      <w:pPr>
        <w:pStyle w:val="Ttulo1"/>
        <w:rPr>
          <w:szCs w:val="20"/>
        </w:rPr>
      </w:pPr>
      <w:bookmarkStart w:id="30" w:name="_Toc10472180"/>
      <w:r w:rsidRPr="009A4C33">
        <w:lastRenderedPageBreak/>
        <w:t>APÊNDICE</w:t>
      </w:r>
      <w:r>
        <w:rPr>
          <w:szCs w:val="20"/>
        </w:rPr>
        <w:t xml:space="preserve"> I</w:t>
      </w:r>
      <w:bookmarkEnd w:id="30"/>
    </w:p>
    <w:p w14:paraId="2B2A64AC" w14:textId="77777777" w:rsidR="009A4C33" w:rsidRDefault="009A4C33" w:rsidP="009A4C33">
      <w:pPr>
        <w:pStyle w:val="Normal1"/>
      </w:pPr>
    </w:p>
    <w:p w14:paraId="1464D8AE" w14:textId="77777777" w:rsidR="008552DC" w:rsidRDefault="008552DC" w:rsidP="009A4C33">
      <w:pPr>
        <w:pStyle w:val="Normal1"/>
      </w:pPr>
    </w:p>
    <w:p w14:paraId="7BD9358B" w14:textId="77777777" w:rsidR="008552DC" w:rsidRDefault="008552DC" w:rsidP="009A4C33">
      <w:pPr>
        <w:pStyle w:val="Normal1"/>
      </w:pPr>
    </w:p>
    <w:p w14:paraId="56E80763" w14:textId="77777777" w:rsidR="009A4C33" w:rsidRPr="009A4C33" w:rsidRDefault="009A4C33" w:rsidP="009A4C33">
      <w:pPr>
        <w:pStyle w:val="Normal1"/>
        <w:rPr>
          <w:sz w:val="20"/>
        </w:rPr>
      </w:pPr>
      <w:r w:rsidRPr="009A4C33">
        <w:rPr>
          <w:sz w:val="20"/>
        </w:rPr>
        <w:t xml:space="preserve">Figura 9: Diagrama de </w:t>
      </w:r>
      <w:r w:rsidR="00FE4833">
        <w:rPr>
          <w:sz w:val="20"/>
        </w:rPr>
        <w:t>caso de uso</w:t>
      </w:r>
      <w:r w:rsidRPr="009A4C33">
        <w:rPr>
          <w:sz w:val="20"/>
        </w:rPr>
        <w:t>.</w:t>
      </w:r>
    </w:p>
    <w:p w14:paraId="1E703E67" w14:textId="77777777" w:rsidR="009A4C33" w:rsidRDefault="00FE4833" w:rsidP="009A4C33">
      <w:pPr>
        <w:pStyle w:val="Normal1"/>
      </w:pPr>
      <w:r>
        <w:rPr>
          <w:noProof/>
          <w:szCs w:val="20"/>
        </w:rPr>
        <w:drawing>
          <wp:inline distT="0" distB="0" distL="0" distR="0" wp14:anchorId="2A8D031D" wp14:editId="7EBD4A92">
            <wp:extent cx="6263005" cy="1852930"/>
            <wp:effectExtent l="19050" t="19050" r="444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so de uso tcc we.PNG"/>
                    <pic:cNvPicPr/>
                  </pic:nvPicPr>
                  <pic:blipFill>
                    <a:blip r:embed="rId26">
                      <a:extLst>
                        <a:ext uri="{28A0092B-C50C-407E-A947-70E740481C1C}">
                          <a14:useLocalDpi xmlns:a14="http://schemas.microsoft.com/office/drawing/2010/main" val="0"/>
                        </a:ext>
                      </a:extLst>
                    </a:blip>
                    <a:stretch>
                      <a:fillRect/>
                    </a:stretch>
                  </pic:blipFill>
                  <pic:spPr>
                    <a:xfrm>
                      <a:off x="0" y="0"/>
                      <a:ext cx="6263005" cy="1852930"/>
                    </a:xfrm>
                    <a:prstGeom prst="rect">
                      <a:avLst/>
                    </a:prstGeom>
                    <a:ln w="3175">
                      <a:solidFill>
                        <a:schemeClr val="tx1"/>
                      </a:solidFill>
                    </a:ln>
                  </pic:spPr>
                </pic:pic>
              </a:graphicData>
            </a:graphic>
          </wp:inline>
        </w:drawing>
      </w:r>
    </w:p>
    <w:p w14:paraId="5316BC4D" w14:textId="77777777" w:rsidR="0059085A" w:rsidRDefault="009A4C33" w:rsidP="009A4C33">
      <w:pPr>
        <w:pStyle w:val="Normal1"/>
        <w:rPr>
          <w:sz w:val="20"/>
        </w:rPr>
      </w:pPr>
      <w:r w:rsidRPr="009A4C33">
        <w:rPr>
          <w:sz w:val="20"/>
        </w:rPr>
        <w:t>Fonte: acervo dos autores.</w:t>
      </w:r>
    </w:p>
    <w:p w14:paraId="2A42A95F" w14:textId="77777777" w:rsidR="0059085A" w:rsidRDefault="0059085A">
      <w:pPr>
        <w:rPr>
          <w:sz w:val="20"/>
        </w:rPr>
      </w:pPr>
      <w:r>
        <w:rPr>
          <w:sz w:val="20"/>
        </w:rPr>
        <w:br w:type="page"/>
      </w:r>
    </w:p>
    <w:p w14:paraId="5A685B5B" w14:textId="77777777" w:rsidR="0059085A" w:rsidRDefault="0059085A" w:rsidP="0059085A">
      <w:pPr>
        <w:pStyle w:val="Ttulo1"/>
        <w:rPr>
          <w:szCs w:val="20"/>
        </w:rPr>
      </w:pPr>
      <w:bookmarkStart w:id="31" w:name="_Toc10472181"/>
      <w:r w:rsidRPr="009A4C33">
        <w:lastRenderedPageBreak/>
        <w:t>APÊNDICE</w:t>
      </w:r>
      <w:r>
        <w:rPr>
          <w:szCs w:val="20"/>
        </w:rPr>
        <w:t xml:space="preserve"> J</w:t>
      </w:r>
      <w:bookmarkEnd w:id="31"/>
    </w:p>
    <w:p w14:paraId="70859496" w14:textId="77777777" w:rsidR="008552DC" w:rsidRDefault="008552DC" w:rsidP="008552DC">
      <w:pPr>
        <w:pStyle w:val="Normal1"/>
      </w:pPr>
    </w:p>
    <w:p w14:paraId="4FA23939" w14:textId="77777777" w:rsidR="008552DC" w:rsidRDefault="008552DC" w:rsidP="008552DC">
      <w:pPr>
        <w:pStyle w:val="Normal1"/>
      </w:pPr>
    </w:p>
    <w:p w14:paraId="1D7A2DEE" w14:textId="77777777" w:rsidR="008552DC" w:rsidRPr="008552DC" w:rsidRDefault="008552DC" w:rsidP="008552DC">
      <w:pPr>
        <w:pStyle w:val="Normal1"/>
      </w:pPr>
    </w:p>
    <w:p w14:paraId="7340BE5A" w14:textId="77777777" w:rsidR="00FE4833" w:rsidRDefault="00FE4833" w:rsidP="00FE4833">
      <w:pPr>
        <w:pStyle w:val="Normal1"/>
        <w:rPr>
          <w:sz w:val="20"/>
        </w:rPr>
      </w:pPr>
      <w:r w:rsidRPr="009A4C33">
        <w:rPr>
          <w:sz w:val="20"/>
        </w:rPr>
        <w:t xml:space="preserve">Figura </w:t>
      </w:r>
      <w:r>
        <w:rPr>
          <w:sz w:val="20"/>
        </w:rPr>
        <w:t>10</w:t>
      </w:r>
      <w:r w:rsidRPr="009A4C33">
        <w:rPr>
          <w:sz w:val="20"/>
        </w:rPr>
        <w:t xml:space="preserve">: Diagrama de </w:t>
      </w:r>
      <w:r>
        <w:rPr>
          <w:sz w:val="20"/>
        </w:rPr>
        <w:t>classe do sistema</w:t>
      </w:r>
      <w:r w:rsidRPr="009A4C33">
        <w:rPr>
          <w:sz w:val="20"/>
        </w:rPr>
        <w:t>.</w:t>
      </w:r>
    </w:p>
    <w:p w14:paraId="15D37A0F" w14:textId="77777777" w:rsidR="00FE4833" w:rsidRPr="009A4C33" w:rsidRDefault="00FE4833" w:rsidP="00FE4833">
      <w:pPr>
        <w:pStyle w:val="Normal1"/>
        <w:rPr>
          <w:sz w:val="20"/>
        </w:rPr>
      </w:pPr>
      <w:r>
        <w:rPr>
          <w:noProof/>
          <w:sz w:val="20"/>
        </w:rPr>
        <w:drawing>
          <wp:inline distT="0" distB="0" distL="0" distR="0" wp14:anchorId="3EE2B77A" wp14:editId="1AA5A7A7">
            <wp:extent cx="6263005" cy="1794510"/>
            <wp:effectExtent l="19050" t="19050" r="444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a de classe tcc.PNG"/>
                    <pic:cNvPicPr/>
                  </pic:nvPicPr>
                  <pic:blipFill>
                    <a:blip r:embed="rId27">
                      <a:extLst>
                        <a:ext uri="{28A0092B-C50C-407E-A947-70E740481C1C}">
                          <a14:useLocalDpi xmlns:a14="http://schemas.microsoft.com/office/drawing/2010/main" val="0"/>
                        </a:ext>
                      </a:extLst>
                    </a:blip>
                    <a:stretch>
                      <a:fillRect/>
                    </a:stretch>
                  </pic:blipFill>
                  <pic:spPr>
                    <a:xfrm>
                      <a:off x="0" y="0"/>
                      <a:ext cx="6263005" cy="1794510"/>
                    </a:xfrm>
                    <a:prstGeom prst="rect">
                      <a:avLst/>
                    </a:prstGeom>
                    <a:ln w="3175">
                      <a:solidFill>
                        <a:schemeClr val="tx1"/>
                      </a:solidFill>
                    </a:ln>
                  </pic:spPr>
                </pic:pic>
              </a:graphicData>
            </a:graphic>
          </wp:inline>
        </w:drawing>
      </w:r>
    </w:p>
    <w:p w14:paraId="6CFE528F" w14:textId="77777777" w:rsidR="00FE4833" w:rsidRDefault="00FE4833" w:rsidP="00FE4833">
      <w:pPr>
        <w:pStyle w:val="Normal1"/>
        <w:rPr>
          <w:sz w:val="20"/>
        </w:rPr>
      </w:pPr>
      <w:r w:rsidRPr="009A4C33">
        <w:rPr>
          <w:sz w:val="20"/>
        </w:rPr>
        <w:t>Fonte: acervo dos autores.</w:t>
      </w:r>
    </w:p>
    <w:p w14:paraId="73B2323B" w14:textId="77777777" w:rsidR="00FE4833" w:rsidRDefault="00FE4833" w:rsidP="00FE4833">
      <w:pPr>
        <w:rPr>
          <w:sz w:val="20"/>
        </w:rPr>
      </w:pPr>
      <w:r>
        <w:rPr>
          <w:sz w:val="20"/>
        </w:rPr>
        <w:br w:type="page"/>
      </w:r>
    </w:p>
    <w:p w14:paraId="163DEC0F" w14:textId="77777777" w:rsidR="0059085A" w:rsidRDefault="0059085A" w:rsidP="0059085A">
      <w:pPr>
        <w:pStyle w:val="Ttulo1"/>
        <w:rPr>
          <w:szCs w:val="20"/>
        </w:rPr>
      </w:pPr>
      <w:bookmarkStart w:id="32" w:name="_Toc10472182"/>
      <w:r w:rsidRPr="009A4C33">
        <w:lastRenderedPageBreak/>
        <w:t>APÊNDICE</w:t>
      </w:r>
      <w:r>
        <w:rPr>
          <w:szCs w:val="20"/>
        </w:rPr>
        <w:t xml:space="preserve"> K</w:t>
      </w:r>
      <w:bookmarkEnd w:id="32"/>
    </w:p>
    <w:p w14:paraId="6095C135" w14:textId="77777777" w:rsidR="008552DC" w:rsidRDefault="008552DC" w:rsidP="008552DC">
      <w:pPr>
        <w:pStyle w:val="Normal1"/>
      </w:pPr>
    </w:p>
    <w:p w14:paraId="6C21EC36" w14:textId="77777777" w:rsidR="008552DC" w:rsidRDefault="008552DC" w:rsidP="008552DC">
      <w:pPr>
        <w:pStyle w:val="Normal1"/>
      </w:pPr>
    </w:p>
    <w:p w14:paraId="6C6FCB46" w14:textId="77777777" w:rsidR="008552DC" w:rsidRPr="008552DC" w:rsidRDefault="008552DC" w:rsidP="008552DC">
      <w:pPr>
        <w:pStyle w:val="Normal1"/>
      </w:pPr>
    </w:p>
    <w:p w14:paraId="17D63FC8" w14:textId="77777777" w:rsidR="00FE4833" w:rsidRDefault="00FE4833" w:rsidP="00FE4833">
      <w:pPr>
        <w:pStyle w:val="Normal1"/>
        <w:rPr>
          <w:sz w:val="20"/>
        </w:rPr>
      </w:pPr>
      <w:r>
        <w:rPr>
          <w:sz w:val="20"/>
        </w:rPr>
        <w:t>Figura 11</w:t>
      </w:r>
      <w:r w:rsidRPr="009A4C33">
        <w:rPr>
          <w:sz w:val="20"/>
        </w:rPr>
        <w:t xml:space="preserve">: Diagrama de </w:t>
      </w:r>
      <w:r>
        <w:rPr>
          <w:sz w:val="20"/>
        </w:rPr>
        <w:t>atividade do sistema</w:t>
      </w:r>
      <w:r w:rsidRPr="009A4C33">
        <w:rPr>
          <w:sz w:val="20"/>
        </w:rPr>
        <w:t>.</w:t>
      </w:r>
    </w:p>
    <w:p w14:paraId="11599F2B" w14:textId="77777777" w:rsidR="00FE4833" w:rsidRPr="009A4C33" w:rsidRDefault="00FE4833" w:rsidP="00FE4833">
      <w:pPr>
        <w:pStyle w:val="Normal1"/>
        <w:rPr>
          <w:sz w:val="20"/>
        </w:rPr>
      </w:pPr>
      <w:r>
        <w:rPr>
          <w:noProof/>
          <w:sz w:val="20"/>
        </w:rPr>
        <w:drawing>
          <wp:inline distT="0" distB="0" distL="0" distR="0" wp14:anchorId="601D6D76" wp14:editId="63FD1FC2">
            <wp:extent cx="6096851" cy="5363323"/>
            <wp:effectExtent l="19050" t="19050" r="0" b="889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iagramatividadecerto.PNG"/>
                    <pic:cNvPicPr/>
                  </pic:nvPicPr>
                  <pic:blipFill>
                    <a:blip r:embed="rId28">
                      <a:extLst>
                        <a:ext uri="{28A0092B-C50C-407E-A947-70E740481C1C}">
                          <a14:useLocalDpi xmlns:a14="http://schemas.microsoft.com/office/drawing/2010/main" val="0"/>
                        </a:ext>
                      </a:extLst>
                    </a:blip>
                    <a:stretch>
                      <a:fillRect/>
                    </a:stretch>
                  </pic:blipFill>
                  <pic:spPr>
                    <a:xfrm>
                      <a:off x="0" y="0"/>
                      <a:ext cx="6096851" cy="5363323"/>
                    </a:xfrm>
                    <a:prstGeom prst="rect">
                      <a:avLst/>
                    </a:prstGeom>
                    <a:ln w="3175">
                      <a:solidFill>
                        <a:schemeClr val="tx1"/>
                      </a:solidFill>
                    </a:ln>
                  </pic:spPr>
                </pic:pic>
              </a:graphicData>
            </a:graphic>
          </wp:inline>
        </w:drawing>
      </w:r>
    </w:p>
    <w:p w14:paraId="363C0159" w14:textId="77777777" w:rsidR="00FE4833" w:rsidRDefault="00FE4833" w:rsidP="00FE4833">
      <w:pPr>
        <w:pStyle w:val="Normal1"/>
        <w:rPr>
          <w:sz w:val="20"/>
        </w:rPr>
      </w:pPr>
      <w:r w:rsidRPr="009A4C33">
        <w:rPr>
          <w:sz w:val="20"/>
        </w:rPr>
        <w:t>Fonte: acervo dos autores.</w:t>
      </w:r>
    </w:p>
    <w:p w14:paraId="370C8D2C" w14:textId="77777777" w:rsidR="00FE4833" w:rsidRDefault="00FE4833" w:rsidP="00FE4833">
      <w:pPr>
        <w:rPr>
          <w:sz w:val="20"/>
        </w:rPr>
      </w:pPr>
      <w:r>
        <w:rPr>
          <w:sz w:val="20"/>
        </w:rPr>
        <w:br w:type="page"/>
      </w:r>
    </w:p>
    <w:p w14:paraId="7790A2A7" w14:textId="77777777" w:rsidR="0059085A" w:rsidRDefault="0059085A" w:rsidP="0059085A">
      <w:pPr>
        <w:pStyle w:val="Ttulo1"/>
        <w:rPr>
          <w:szCs w:val="20"/>
        </w:rPr>
      </w:pPr>
      <w:bookmarkStart w:id="33" w:name="_Toc10472183"/>
      <w:r w:rsidRPr="009A4C33">
        <w:lastRenderedPageBreak/>
        <w:t>APÊNDICE</w:t>
      </w:r>
      <w:r>
        <w:rPr>
          <w:szCs w:val="20"/>
        </w:rPr>
        <w:t xml:space="preserve"> L</w:t>
      </w:r>
      <w:bookmarkEnd w:id="33"/>
    </w:p>
    <w:p w14:paraId="02BCE06D" w14:textId="77777777" w:rsidR="008552DC" w:rsidRDefault="008552DC" w:rsidP="008552DC">
      <w:pPr>
        <w:pStyle w:val="Normal1"/>
        <w:rPr>
          <w:sz w:val="20"/>
        </w:rPr>
      </w:pPr>
      <w:r>
        <w:rPr>
          <w:sz w:val="20"/>
        </w:rPr>
        <w:t>Figura 12: Diagrama de implementação.</w:t>
      </w:r>
    </w:p>
    <w:p w14:paraId="22FA5D89" w14:textId="77777777" w:rsidR="008552DC" w:rsidRDefault="00845B0F" w:rsidP="008552DC">
      <w:pPr>
        <w:pStyle w:val="Normal1"/>
        <w:rPr>
          <w:sz w:val="20"/>
        </w:rPr>
      </w:pPr>
      <w:r w:rsidRPr="00515AB7">
        <w:rPr>
          <w:noProof/>
          <w:sz w:val="20"/>
        </w:rPr>
        <w:drawing>
          <wp:inline distT="0" distB="0" distL="0" distR="0" wp14:anchorId="00B831CB" wp14:editId="355AE3D5">
            <wp:extent cx="6263005" cy="4299585"/>
            <wp:effectExtent l="19050" t="19050" r="4445" b="5715"/>
            <wp:docPr id="18" name="Imagem 18" descr="H:\.disk\esse recorte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isk\esse recortee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63005" cy="4299585"/>
                    </a:xfrm>
                    <a:prstGeom prst="rect">
                      <a:avLst/>
                    </a:prstGeom>
                    <a:noFill/>
                    <a:ln w="3175">
                      <a:solidFill>
                        <a:schemeClr val="tx1"/>
                      </a:solidFill>
                    </a:ln>
                  </pic:spPr>
                </pic:pic>
              </a:graphicData>
            </a:graphic>
          </wp:inline>
        </w:drawing>
      </w:r>
      <w:r w:rsidR="008552DC">
        <w:rPr>
          <w:sz w:val="20"/>
        </w:rPr>
        <w:t>Fonte: acervo dos autores.</w:t>
      </w:r>
    </w:p>
    <w:p w14:paraId="79E3237D" w14:textId="77777777" w:rsidR="008552DC" w:rsidRDefault="008552DC" w:rsidP="008552DC">
      <w:pPr>
        <w:pStyle w:val="Normal1"/>
        <w:rPr>
          <w:sz w:val="20"/>
        </w:rPr>
      </w:pPr>
    </w:p>
    <w:sectPr w:rsidR="008552DC" w:rsidSect="0045329B">
      <w:type w:val="continuous"/>
      <w:pgSz w:w="11906" w:h="16838"/>
      <w:pgMar w:top="1418" w:right="1021" w:bottom="1418" w:left="1021" w:header="709" w:footer="709" w:gutter="0"/>
      <w:cols w:space="720" w:equalWidth="0">
        <w:col w:w="9863"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7272FF" w14:textId="77777777" w:rsidR="00CC33DA" w:rsidRDefault="00CC33DA" w:rsidP="0045329B">
      <w:r>
        <w:separator/>
      </w:r>
    </w:p>
  </w:endnote>
  <w:endnote w:type="continuationSeparator" w:id="0">
    <w:p w14:paraId="55BD8D49" w14:textId="77777777" w:rsidR="00CC33DA" w:rsidRDefault="00CC33DA" w:rsidP="00453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9111646"/>
      <w:docPartObj>
        <w:docPartGallery w:val="Page Numbers (Bottom of Page)"/>
        <w:docPartUnique/>
      </w:docPartObj>
    </w:sdtPr>
    <w:sdtEndPr/>
    <w:sdtContent>
      <w:p w14:paraId="4CBAA219" w14:textId="77777777" w:rsidR="00C31D54" w:rsidRDefault="0075761E">
        <w:pPr>
          <w:pStyle w:val="Rodap"/>
          <w:jc w:val="right"/>
        </w:pPr>
        <w:r>
          <w:fldChar w:fldCharType="begin"/>
        </w:r>
        <w:r>
          <w:instrText xml:space="preserve"> PAGE   \* MERGEFORMAT </w:instrText>
        </w:r>
        <w:r>
          <w:fldChar w:fldCharType="separate"/>
        </w:r>
        <w:r w:rsidR="00A24071">
          <w:rPr>
            <w:noProof/>
          </w:rPr>
          <w:t>5</w:t>
        </w:r>
        <w:r>
          <w:rPr>
            <w:noProof/>
          </w:rPr>
          <w:fldChar w:fldCharType="end"/>
        </w:r>
      </w:p>
    </w:sdtContent>
  </w:sdt>
  <w:p w14:paraId="2EE96609" w14:textId="77777777" w:rsidR="00C31D54" w:rsidRDefault="00C31D54">
    <w:pPr>
      <w:pStyle w:val="Normal1"/>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EDBDBA" w14:textId="77777777" w:rsidR="00CC33DA" w:rsidRDefault="00CC33DA" w:rsidP="0045329B">
      <w:r>
        <w:separator/>
      </w:r>
    </w:p>
  </w:footnote>
  <w:footnote w:type="continuationSeparator" w:id="0">
    <w:p w14:paraId="39C0832A" w14:textId="77777777" w:rsidR="00CC33DA" w:rsidRDefault="00CC33DA" w:rsidP="004532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DE94F8C"/>
    <w:multiLevelType w:val="multilevel"/>
    <w:tmpl w:val="72DCF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E1610AE"/>
    <w:multiLevelType w:val="multilevel"/>
    <w:tmpl w:val="39028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6534570"/>
    <w:multiLevelType w:val="multilevel"/>
    <w:tmpl w:val="3E4688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329B"/>
    <w:rsid w:val="00072A33"/>
    <w:rsid w:val="00185EA6"/>
    <w:rsid w:val="00186824"/>
    <w:rsid w:val="001A3993"/>
    <w:rsid w:val="001D62E7"/>
    <w:rsid w:val="001F2926"/>
    <w:rsid w:val="00213D44"/>
    <w:rsid w:val="00227487"/>
    <w:rsid w:val="00246C2B"/>
    <w:rsid w:val="00253B98"/>
    <w:rsid w:val="002A277D"/>
    <w:rsid w:val="002C288A"/>
    <w:rsid w:val="002D1F50"/>
    <w:rsid w:val="003B4560"/>
    <w:rsid w:val="004213F4"/>
    <w:rsid w:val="0042664C"/>
    <w:rsid w:val="00426C76"/>
    <w:rsid w:val="00452323"/>
    <w:rsid w:val="0045329B"/>
    <w:rsid w:val="004973A2"/>
    <w:rsid w:val="004D342A"/>
    <w:rsid w:val="004E198C"/>
    <w:rsid w:val="00516356"/>
    <w:rsid w:val="0059085A"/>
    <w:rsid w:val="005C780A"/>
    <w:rsid w:val="005D1A3A"/>
    <w:rsid w:val="006C5435"/>
    <w:rsid w:val="007013EA"/>
    <w:rsid w:val="007067E2"/>
    <w:rsid w:val="007169D0"/>
    <w:rsid w:val="00731275"/>
    <w:rsid w:val="0075761E"/>
    <w:rsid w:val="007A22D5"/>
    <w:rsid w:val="007C163C"/>
    <w:rsid w:val="007F3C61"/>
    <w:rsid w:val="008208B6"/>
    <w:rsid w:val="0082140F"/>
    <w:rsid w:val="00845B0F"/>
    <w:rsid w:val="00851531"/>
    <w:rsid w:val="008552DC"/>
    <w:rsid w:val="008D52A0"/>
    <w:rsid w:val="00910ED7"/>
    <w:rsid w:val="009445CA"/>
    <w:rsid w:val="00947D9D"/>
    <w:rsid w:val="009A4C33"/>
    <w:rsid w:val="009A6E17"/>
    <w:rsid w:val="009E79C0"/>
    <w:rsid w:val="00A22C30"/>
    <w:rsid w:val="00A24071"/>
    <w:rsid w:val="00A56F87"/>
    <w:rsid w:val="00A65368"/>
    <w:rsid w:val="00A75D41"/>
    <w:rsid w:val="00A82AAF"/>
    <w:rsid w:val="00AC592C"/>
    <w:rsid w:val="00C31D54"/>
    <w:rsid w:val="00C357C9"/>
    <w:rsid w:val="00CC33DA"/>
    <w:rsid w:val="00CF77C8"/>
    <w:rsid w:val="00D327B3"/>
    <w:rsid w:val="00D82908"/>
    <w:rsid w:val="00D91228"/>
    <w:rsid w:val="00D92E7F"/>
    <w:rsid w:val="00DB7372"/>
    <w:rsid w:val="00DD3242"/>
    <w:rsid w:val="00E7742E"/>
    <w:rsid w:val="00ED2A52"/>
    <w:rsid w:val="00EF430F"/>
    <w:rsid w:val="00F0271B"/>
    <w:rsid w:val="00F85032"/>
    <w:rsid w:val="00FE48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9761E7"/>
  <w15:docId w15:val="{C54ECC86-3D42-4912-83C5-193C9E25A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6E17"/>
  </w:style>
  <w:style w:type="paragraph" w:styleId="Ttulo1">
    <w:name w:val="heading 1"/>
    <w:basedOn w:val="Normal1"/>
    <w:next w:val="Normal1"/>
    <w:autoRedefine/>
    <w:qFormat/>
    <w:rsid w:val="005C780A"/>
    <w:pPr>
      <w:keepNext/>
      <w:keepLines/>
      <w:spacing w:before="480" w:after="120"/>
      <w:jc w:val="center"/>
      <w:outlineLvl w:val="0"/>
    </w:pPr>
    <w:rPr>
      <w:b/>
      <w:sz w:val="20"/>
      <w:szCs w:val="48"/>
    </w:rPr>
  </w:style>
  <w:style w:type="paragraph" w:styleId="Ttulo2">
    <w:name w:val="heading 2"/>
    <w:basedOn w:val="Normal1"/>
    <w:next w:val="Normal1"/>
    <w:autoRedefine/>
    <w:qFormat/>
    <w:rsid w:val="00452323"/>
    <w:pPr>
      <w:keepNext/>
      <w:keepLines/>
      <w:outlineLvl w:val="1"/>
    </w:pPr>
    <w:rPr>
      <w:b/>
      <w:sz w:val="20"/>
      <w:szCs w:val="36"/>
    </w:rPr>
  </w:style>
  <w:style w:type="paragraph" w:styleId="Ttulo3">
    <w:name w:val="heading 3"/>
    <w:basedOn w:val="Normal1"/>
    <w:next w:val="Normal1"/>
    <w:rsid w:val="0045329B"/>
    <w:pPr>
      <w:keepNext/>
      <w:keepLines/>
      <w:spacing w:before="280" w:after="80"/>
      <w:outlineLvl w:val="2"/>
    </w:pPr>
    <w:rPr>
      <w:b/>
      <w:sz w:val="28"/>
      <w:szCs w:val="28"/>
    </w:rPr>
  </w:style>
  <w:style w:type="paragraph" w:styleId="Ttulo4">
    <w:name w:val="heading 4"/>
    <w:basedOn w:val="Normal1"/>
    <w:next w:val="Normal1"/>
    <w:rsid w:val="0045329B"/>
    <w:pPr>
      <w:keepNext/>
      <w:keepLines/>
      <w:spacing w:before="240" w:after="40"/>
      <w:outlineLvl w:val="3"/>
    </w:pPr>
    <w:rPr>
      <w:b/>
    </w:rPr>
  </w:style>
  <w:style w:type="paragraph" w:styleId="Ttulo5">
    <w:name w:val="heading 5"/>
    <w:basedOn w:val="Normal1"/>
    <w:next w:val="Normal1"/>
    <w:rsid w:val="0045329B"/>
    <w:pPr>
      <w:keepNext/>
      <w:keepLines/>
      <w:spacing w:before="220" w:after="40"/>
      <w:outlineLvl w:val="4"/>
    </w:pPr>
    <w:rPr>
      <w:b/>
      <w:sz w:val="22"/>
      <w:szCs w:val="22"/>
    </w:rPr>
  </w:style>
  <w:style w:type="paragraph" w:styleId="Ttulo6">
    <w:name w:val="heading 6"/>
    <w:basedOn w:val="Normal1"/>
    <w:next w:val="Normal1"/>
    <w:rsid w:val="0045329B"/>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1">
    <w:name w:val="Normal1"/>
    <w:rsid w:val="0045329B"/>
  </w:style>
  <w:style w:type="table" w:customStyle="1" w:styleId="TableNormal">
    <w:name w:val="Table Normal"/>
    <w:rsid w:val="0045329B"/>
    <w:tblPr>
      <w:tblCellMar>
        <w:top w:w="0" w:type="dxa"/>
        <w:left w:w="0" w:type="dxa"/>
        <w:bottom w:w="0" w:type="dxa"/>
        <w:right w:w="0" w:type="dxa"/>
      </w:tblCellMar>
    </w:tblPr>
  </w:style>
  <w:style w:type="paragraph" w:styleId="Ttulo">
    <w:name w:val="Title"/>
    <w:basedOn w:val="Normal1"/>
    <w:next w:val="Normal1"/>
    <w:rsid w:val="0045329B"/>
    <w:pPr>
      <w:keepNext/>
      <w:keepLines/>
      <w:spacing w:before="480" w:after="120"/>
    </w:pPr>
    <w:rPr>
      <w:b/>
      <w:sz w:val="72"/>
      <w:szCs w:val="72"/>
    </w:rPr>
  </w:style>
  <w:style w:type="paragraph" w:styleId="Subttulo">
    <w:name w:val="Subtitle"/>
    <w:basedOn w:val="Normal1"/>
    <w:next w:val="Normal1"/>
    <w:rsid w:val="0045329B"/>
    <w:pPr>
      <w:keepNext/>
      <w:keepLines/>
      <w:spacing w:before="360" w:after="80"/>
    </w:pPr>
    <w:rPr>
      <w:rFonts w:ascii="Georgia" w:eastAsia="Georgia" w:hAnsi="Georgia" w:cs="Georgia"/>
      <w:i/>
      <w:color w:val="666666"/>
      <w:sz w:val="48"/>
      <w:szCs w:val="48"/>
    </w:rPr>
  </w:style>
  <w:style w:type="paragraph" w:styleId="Textodebalo">
    <w:name w:val="Balloon Text"/>
    <w:basedOn w:val="Normal"/>
    <w:link w:val="TextodebaloChar"/>
    <w:uiPriority w:val="99"/>
    <w:semiHidden/>
    <w:unhideWhenUsed/>
    <w:rsid w:val="00D92E7F"/>
    <w:rPr>
      <w:rFonts w:ascii="Tahoma" w:hAnsi="Tahoma" w:cs="Tahoma"/>
      <w:sz w:val="16"/>
      <w:szCs w:val="16"/>
    </w:rPr>
  </w:style>
  <w:style w:type="character" w:customStyle="1" w:styleId="TextodebaloChar">
    <w:name w:val="Texto de balão Char"/>
    <w:basedOn w:val="Fontepargpadro"/>
    <w:link w:val="Textodebalo"/>
    <w:uiPriority w:val="99"/>
    <w:semiHidden/>
    <w:rsid w:val="00D92E7F"/>
    <w:rPr>
      <w:rFonts w:ascii="Tahoma" w:hAnsi="Tahoma" w:cs="Tahoma"/>
      <w:sz w:val="16"/>
      <w:szCs w:val="16"/>
    </w:rPr>
  </w:style>
  <w:style w:type="paragraph" w:styleId="CabealhodoSumrio">
    <w:name w:val="TOC Heading"/>
    <w:basedOn w:val="Ttulo1"/>
    <w:next w:val="Normal"/>
    <w:uiPriority w:val="39"/>
    <w:unhideWhenUsed/>
    <w:qFormat/>
    <w:rsid w:val="001D62E7"/>
    <w:pPr>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Sumrio1">
    <w:name w:val="toc 1"/>
    <w:basedOn w:val="Normal"/>
    <w:next w:val="Normal"/>
    <w:autoRedefine/>
    <w:uiPriority w:val="39"/>
    <w:unhideWhenUsed/>
    <w:rsid w:val="007067E2"/>
    <w:pPr>
      <w:spacing w:after="100"/>
    </w:pPr>
  </w:style>
  <w:style w:type="character" w:styleId="Hyperlink">
    <w:name w:val="Hyperlink"/>
    <w:basedOn w:val="Fontepargpadro"/>
    <w:uiPriority w:val="99"/>
    <w:unhideWhenUsed/>
    <w:rsid w:val="007067E2"/>
    <w:rPr>
      <w:color w:val="0000FF" w:themeColor="hyperlink"/>
      <w:u w:val="single"/>
    </w:rPr>
  </w:style>
  <w:style w:type="paragraph" w:styleId="Cabealho">
    <w:name w:val="header"/>
    <w:basedOn w:val="Normal"/>
    <w:link w:val="CabealhoChar"/>
    <w:uiPriority w:val="99"/>
    <w:unhideWhenUsed/>
    <w:rsid w:val="007067E2"/>
    <w:pPr>
      <w:tabs>
        <w:tab w:val="center" w:pos="4252"/>
        <w:tab w:val="right" w:pos="8504"/>
      </w:tabs>
    </w:pPr>
  </w:style>
  <w:style w:type="character" w:customStyle="1" w:styleId="CabealhoChar">
    <w:name w:val="Cabeçalho Char"/>
    <w:basedOn w:val="Fontepargpadro"/>
    <w:link w:val="Cabealho"/>
    <w:uiPriority w:val="99"/>
    <w:rsid w:val="007067E2"/>
  </w:style>
  <w:style w:type="paragraph" w:styleId="Rodap">
    <w:name w:val="footer"/>
    <w:basedOn w:val="Normal"/>
    <w:link w:val="RodapChar"/>
    <w:uiPriority w:val="99"/>
    <w:unhideWhenUsed/>
    <w:rsid w:val="007067E2"/>
    <w:pPr>
      <w:tabs>
        <w:tab w:val="center" w:pos="4252"/>
        <w:tab w:val="right" w:pos="8504"/>
      </w:tabs>
    </w:pPr>
  </w:style>
  <w:style w:type="character" w:customStyle="1" w:styleId="RodapChar">
    <w:name w:val="Rodapé Char"/>
    <w:basedOn w:val="Fontepargpadro"/>
    <w:link w:val="Rodap"/>
    <w:uiPriority w:val="99"/>
    <w:rsid w:val="007067E2"/>
  </w:style>
  <w:style w:type="paragraph" w:styleId="Sumrio2">
    <w:name w:val="toc 2"/>
    <w:basedOn w:val="Normal"/>
    <w:next w:val="Normal"/>
    <w:autoRedefine/>
    <w:uiPriority w:val="39"/>
    <w:unhideWhenUsed/>
    <w:rsid w:val="00CF77C8"/>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mailto:thiago.af18@gmail.com" TargetMode="External"/><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docs.microsoft.com/pt-br/aspnet/core/?view=aspnetcore-2.2" TargetMode="External"/><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https://www.portalgsti.com.br/2016/10/o-ciclo-de-vida-do-servico-de-ti-da-itil.html"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yperlink" Target="https://riuni.unisul.br/bitstream/handle/12345/2977/Artigo_Governanca_TI_e_ITIL_Fabio_Lucio_Felisberto.pdf?sequence=1&amp;isAllowed=y" TargetMode="Externa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mailto:roberto.campos@facthus.edu.br" TargetMode="Externa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vitim.pradom@gmail.com" TargetMode="Externa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65A27E-0FDF-4F4C-A6ED-05C0CC25CE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4683</Words>
  <Characters>25289</Characters>
  <Application>Microsoft Office Word</Application>
  <DocSecurity>0</DocSecurity>
  <Lines>210</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Leandro Aureliano da Silva</dc:creator>
  <cp:lastModifiedBy>leandro aureliano da silva</cp:lastModifiedBy>
  <cp:revision>2</cp:revision>
  <dcterms:created xsi:type="dcterms:W3CDTF">2020-09-09T20:39:00Z</dcterms:created>
  <dcterms:modified xsi:type="dcterms:W3CDTF">2020-09-09T20:39:00Z</dcterms:modified>
</cp:coreProperties>
</file>